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97DEF" w14:textId="6BB0247B" w:rsidR="005A3477" w:rsidRPr="00EF2A47" w:rsidRDefault="00980F96">
      <w:pPr>
        <w:rPr>
          <w:lang w:val="fr-FR"/>
        </w:rPr>
      </w:pPr>
      <w:bookmarkStart w:id="0" w:name="_GoBack"/>
      <w:bookmarkEnd w:id="0"/>
      <w:r>
        <w:rPr>
          <w:lang w:val="fr-FR"/>
        </w:rPr>
        <w:t>ANNEXE 15</w:t>
      </w:r>
    </w:p>
    <w:tbl>
      <w:tblPr>
        <w:tblStyle w:val="Tabelraster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736"/>
        <w:gridCol w:w="6546"/>
      </w:tblGrid>
      <w:tr w:rsidR="005A3477" w:rsidRPr="00EF2A47" w14:paraId="54B00516" w14:textId="77777777" w:rsidTr="008F0CCA">
        <w:trPr>
          <w:trHeight w:val="367"/>
        </w:trPr>
        <w:tc>
          <w:tcPr>
            <w:tcW w:w="2736" w:type="dxa"/>
            <w:vMerge w:val="restart"/>
            <w:tcBorders>
              <w:right w:val="single" w:sz="4" w:space="0" w:color="auto"/>
            </w:tcBorders>
          </w:tcPr>
          <w:p w14:paraId="53293C41" w14:textId="60E8F64D" w:rsidR="005A3477" w:rsidRPr="00EF2A47" w:rsidRDefault="005A3477">
            <w:pPr>
              <w:rPr>
                <w:lang w:val="fr-FR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FF9725C" w14:textId="77777777" w:rsidR="005A3477" w:rsidRPr="00EF2A47" w:rsidRDefault="005A3477">
            <w:pPr>
              <w:rPr>
                <w:lang w:val="fr-FR"/>
              </w:rPr>
            </w:pPr>
          </w:p>
          <w:p w14:paraId="4FA53113" w14:textId="776EC07C" w:rsidR="005A3477" w:rsidRPr="00EF2A47" w:rsidRDefault="00C95DA4" w:rsidP="009A0481">
            <w:pPr>
              <w:shd w:val="clear" w:color="auto" w:fill="D9D9D9" w:themeFill="background1" w:themeFillShade="D9"/>
              <w:jc w:val="center"/>
              <w:rPr>
                <w:color w:val="0000FF"/>
                <w:sz w:val="48"/>
                <w:szCs w:val="48"/>
                <w:u w:val="single"/>
                <w:lang w:val="fr-FR"/>
              </w:rPr>
            </w:pPr>
            <w:r w:rsidRPr="00EF2A47">
              <w:rPr>
                <w:color w:val="0000FF"/>
                <w:sz w:val="48"/>
                <w:szCs w:val="48"/>
                <w:u w:val="single"/>
                <w:lang w:val="fr-FR"/>
              </w:rPr>
              <w:t>Description de fonction</w:t>
            </w:r>
          </w:p>
          <w:p w14:paraId="0F589746" w14:textId="77777777" w:rsidR="005A3477" w:rsidRPr="00EF2A47" w:rsidRDefault="005A3477">
            <w:pPr>
              <w:rPr>
                <w:lang w:val="fr-FR"/>
              </w:rPr>
            </w:pPr>
          </w:p>
        </w:tc>
      </w:tr>
      <w:tr w:rsidR="005A3477" w:rsidRPr="00EF2A47" w14:paraId="26CDA1EB" w14:textId="77777777" w:rsidTr="008F0CCA">
        <w:trPr>
          <w:trHeight w:val="366"/>
        </w:trPr>
        <w:tc>
          <w:tcPr>
            <w:tcW w:w="2736" w:type="dxa"/>
            <w:vMerge/>
            <w:tcBorders>
              <w:right w:val="single" w:sz="4" w:space="0" w:color="auto"/>
            </w:tcBorders>
          </w:tcPr>
          <w:p w14:paraId="4705D151" w14:textId="77777777" w:rsidR="005A3477" w:rsidRPr="00EF2A47" w:rsidRDefault="005A3477">
            <w:pPr>
              <w:rPr>
                <w:lang w:val="fr-FR"/>
              </w:rPr>
            </w:pPr>
          </w:p>
        </w:tc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3BEBB0" w14:textId="6D1DA41E" w:rsidR="005A3477" w:rsidRPr="00EF2A47" w:rsidRDefault="00C95DA4" w:rsidP="001D40D4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32"/>
                <w:szCs w:val="32"/>
                <w:lang w:val="fr-FR"/>
              </w:rPr>
            </w:pPr>
            <w:r w:rsidRPr="00EF2A47">
              <w:rPr>
                <w:b/>
                <w:color w:val="0000FF"/>
                <w:sz w:val="36"/>
                <w:szCs w:val="36"/>
                <w:lang w:val="fr-FR"/>
              </w:rPr>
              <w:t>Spécialiste opérationnel</w:t>
            </w:r>
          </w:p>
        </w:tc>
      </w:tr>
      <w:tr w:rsidR="006400C9" w:rsidRPr="0040263A" w14:paraId="2244DF67" w14:textId="77777777" w:rsidTr="008F0CCA">
        <w:tc>
          <w:tcPr>
            <w:tcW w:w="2736" w:type="dxa"/>
          </w:tcPr>
          <w:p w14:paraId="110C8BB0" w14:textId="77777777" w:rsidR="006400C9" w:rsidRPr="00EF2A47" w:rsidRDefault="006400C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6" w:type="dxa"/>
            <w:tcBorders>
              <w:top w:val="single" w:sz="4" w:space="0" w:color="auto"/>
            </w:tcBorders>
          </w:tcPr>
          <w:p w14:paraId="52B3195B" w14:textId="77777777" w:rsidR="006400C9" w:rsidRPr="00EF2A47" w:rsidRDefault="006400C9" w:rsidP="009A0481">
            <w:pPr>
              <w:rPr>
                <w:sz w:val="20"/>
                <w:szCs w:val="20"/>
                <w:lang w:val="fr-FR"/>
              </w:rPr>
            </w:pPr>
          </w:p>
          <w:p w14:paraId="441EFA8B" w14:textId="3D999D75" w:rsidR="00C95DA4" w:rsidRPr="00EF2A47" w:rsidRDefault="00C95DA4" w:rsidP="009A2240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EF2A47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Cette fonction est </w:t>
            </w:r>
            <w:r w:rsidR="00D92BA3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en principe </w:t>
            </w:r>
            <w:r w:rsidRPr="00EF2A47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associée à </w:t>
            </w:r>
            <w:r w:rsidR="008F0CCA" w:rsidRPr="00EF2A47">
              <w:rPr>
                <w:rFonts w:cs="Arial"/>
                <w:color w:val="000000"/>
                <w:sz w:val="20"/>
                <w:szCs w:val="20"/>
                <w:lang w:val="fr-FR"/>
              </w:rPr>
              <w:t>une fonction du cadre supérieur</w:t>
            </w:r>
            <w:r w:rsidRPr="00EF2A47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737E8787" w14:textId="77777777" w:rsidR="00C95DA4" w:rsidRPr="00EF2A47" w:rsidRDefault="00C95DA4" w:rsidP="009A2240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5822287F" w14:textId="17BD8EEF" w:rsidR="00C95DA4" w:rsidRPr="00EF2A47" w:rsidRDefault="00C95DA4" w:rsidP="009A2240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EF2A47">
              <w:rPr>
                <w:rFonts w:cs="Arial"/>
                <w:color w:val="000000"/>
                <w:sz w:val="20"/>
                <w:szCs w:val="20"/>
                <w:lang w:val="fr-FR"/>
              </w:rPr>
              <w:t>La zone prévoit cette fonction en fonction de son analyse des risques.</w:t>
            </w:r>
          </w:p>
          <w:p w14:paraId="3DE9BC8B" w14:textId="77777777" w:rsidR="006400C9" w:rsidRDefault="006400C9" w:rsidP="008F0CCA">
            <w:pPr>
              <w:rPr>
                <w:sz w:val="20"/>
                <w:szCs w:val="20"/>
                <w:lang w:val="fr-FR"/>
              </w:rPr>
            </w:pPr>
          </w:p>
          <w:p w14:paraId="0D14A793" w14:textId="77777777" w:rsidR="00B40FF0" w:rsidRDefault="00B40FF0" w:rsidP="00B40FF0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Cette fonction peut également être reprise dans le cadre de la réaffectation sur requête volontaire, prévue à l'article 119 de l'arrêté royal du 19 avril 2014 relatif au statut du personnel opérationnel des zones de secours.</w:t>
            </w:r>
          </w:p>
          <w:p w14:paraId="6C6D64C0" w14:textId="77777777" w:rsidR="00B40FF0" w:rsidRDefault="00B40FF0" w:rsidP="00B40FF0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3BBF1C5A" w14:textId="77777777" w:rsidR="00B40FF0" w:rsidRDefault="00B40FF0" w:rsidP="00B40FF0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Cette fonction peut également être reprise dans le cadre de l’arrêté ministériel du 11 juin 2015 fixant la liste des fonctions allégées, adaptées visées à l'article 126, alinéa 3, de l'arrêté royal du 19 avril 2014 relatif au statut administratif du personnel opérationnel des zones de secours.</w:t>
            </w:r>
          </w:p>
          <w:p w14:paraId="2957A43F" w14:textId="77777777" w:rsidR="00980F96" w:rsidRPr="00EF2A47" w:rsidRDefault="00980F96" w:rsidP="008F0CCA">
            <w:pPr>
              <w:rPr>
                <w:sz w:val="20"/>
                <w:szCs w:val="20"/>
                <w:lang w:val="fr-FR"/>
              </w:rPr>
            </w:pPr>
          </w:p>
        </w:tc>
      </w:tr>
      <w:tr w:rsidR="008F0CCA" w:rsidRPr="0040263A" w14:paraId="50710453" w14:textId="77777777" w:rsidTr="008F0CCA">
        <w:tc>
          <w:tcPr>
            <w:tcW w:w="2736" w:type="dxa"/>
          </w:tcPr>
          <w:p w14:paraId="03E889FC" w14:textId="3E6C641B" w:rsidR="008F0CCA" w:rsidRPr="00EF2A47" w:rsidRDefault="008F0CCA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EF2A47">
              <w:rPr>
                <w:b/>
                <w:color w:val="0000FF"/>
                <w:sz w:val="20"/>
                <w:szCs w:val="20"/>
                <w:lang w:val="fr-FR"/>
              </w:rPr>
              <w:t>Objectif</w:t>
            </w:r>
          </w:p>
        </w:tc>
        <w:tc>
          <w:tcPr>
            <w:tcW w:w="6546" w:type="dxa"/>
            <w:tcBorders>
              <w:top w:val="single" w:sz="4" w:space="0" w:color="auto"/>
            </w:tcBorders>
          </w:tcPr>
          <w:p w14:paraId="0B0234D5" w14:textId="77777777" w:rsidR="008F0CCA" w:rsidRPr="00EF2A47" w:rsidRDefault="008F0CCA" w:rsidP="009A0481">
            <w:pPr>
              <w:rPr>
                <w:sz w:val="20"/>
                <w:szCs w:val="20"/>
                <w:lang w:val="fr-FR"/>
              </w:rPr>
            </w:pPr>
          </w:p>
          <w:p w14:paraId="7E9D3D5A" w14:textId="77777777" w:rsidR="008F0CCA" w:rsidRPr="00EF2A47" w:rsidRDefault="008F0CCA" w:rsidP="008F0CCA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EF2A47">
              <w:rPr>
                <w:rFonts w:cs="Arial"/>
                <w:color w:val="000000"/>
                <w:sz w:val="20"/>
                <w:szCs w:val="20"/>
                <w:lang w:val="fr-FR"/>
              </w:rPr>
              <w:t>Diriger un groupe d'experts opérationnels, principalement pour des activités spécialisées nécessitant davantage de connaissances et compétences.</w:t>
            </w:r>
          </w:p>
          <w:p w14:paraId="5E21362C" w14:textId="77777777" w:rsidR="008F0CCA" w:rsidRDefault="008F0CCA" w:rsidP="008F0CCA">
            <w:pPr>
              <w:rPr>
                <w:sz w:val="20"/>
                <w:szCs w:val="20"/>
                <w:lang w:val="fr-FR"/>
              </w:rPr>
            </w:pPr>
          </w:p>
          <w:p w14:paraId="3B281D89" w14:textId="77777777" w:rsidR="00A74D08" w:rsidRDefault="00A74D08" w:rsidP="008F0CCA">
            <w:pPr>
              <w:rPr>
                <w:sz w:val="20"/>
                <w:szCs w:val="20"/>
                <w:lang w:val="fr-FR"/>
              </w:rPr>
            </w:pPr>
          </w:p>
          <w:p w14:paraId="2CF86615" w14:textId="77777777" w:rsidR="00A74D08" w:rsidRPr="00EF2A47" w:rsidRDefault="00A74D08" w:rsidP="008F0CCA">
            <w:pPr>
              <w:rPr>
                <w:sz w:val="20"/>
                <w:szCs w:val="20"/>
                <w:lang w:val="fr-FR"/>
              </w:rPr>
            </w:pPr>
          </w:p>
        </w:tc>
      </w:tr>
      <w:tr w:rsidR="008F0CCA" w:rsidRPr="0040263A" w14:paraId="02F6D96F" w14:textId="77777777" w:rsidTr="008F0CCA">
        <w:tc>
          <w:tcPr>
            <w:tcW w:w="2736" w:type="dxa"/>
          </w:tcPr>
          <w:p w14:paraId="177A63E0" w14:textId="77777777" w:rsidR="008F0CCA" w:rsidRPr="00EF2A47" w:rsidRDefault="008F0CCA" w:rsidP="00353499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EF2A47">
              <w:rPr>
                <w:b/>
                <w:color w:val="0000FF"/>
                <w:sz w:val="20"/>
                <w:szCs w:val="20"/>
                <w:lang w:val="fr-FR"/>
              </w:rPr>
              <w:t>Description</w:t>
            </w:r>
          </w:p>
          <w:p w14:paraId="4D564B96" w14:textId="77777777" w:rsidR="008F0CCA" w:rsidRPr="00EF2A47" w:rsidRDefault="008F0CCA" w:rsidP="0035349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4B64F2A6" w14:textId="77777777" w:rsidR="008F0CCA" w:rsidRPr="00EF2A47" w:rsidRDefault="008F0CCA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6" w:type="dxa"/>
          </w:tcPr>
          <w:p w14:paraId="7ABDAA82" w14:textId="77777777" w:rsidR="008F0CCA" w:rsidRPr="00EF2A47" w:rsidRDefault="008F0CCA" w:rsidP="009A0481">
            <w:pPr>
              <w:rPr>
                <w:sz w:val="20"/>
                <w:szCs w:val="20"/>
                <w:lang w:val="fr-FR"/>
              </w:rPr>
            </w:pPr>
          </w:p>
          <w:p w14:paraId="5923B3D9" w14:textId="1FB99B35" w:rsidR="008F0CCA" w:rsidRPr="00EF2A47" w:rsidRDefault="008F0CCA" w:rsidP="001D40D4">
            <w:pPr>
              <w:rPr>
                <w:sz w:val="20"/>
                <w:szCs w:val="20"/>
                <w:lang w:val="fr-FR"/>
              </w:rPr>
            </w:pPr>
            <w:r w:rsidRPr="00EF2A47">
              <w:rPr>
                <w:sz w:val="20"/>
                <w:szCs w:val="20"/>
                <w:lang w:val="fr-FR"/>
              </w:rPr>
              <w:t>Le spécialiste opérationnel collabore avec une équipe de spécialistes dans leur domaine de spécialisation et y exerce une mission dirigeante</w:t>
            </w:r>
          </w:p>
          <w:p w14:paraId="0D01EBA9" w14:textId="77777777" w:rsidR="008F0CCA" w:rsidRDefault="008F0CCA" w:rsidP="001D40D4">
            <w:pPr>
              <w:rPr>
                <w:sz w:val="20"/>
                <w:szCs w:val="20"/>
                <w:lang w:val="fr-FR"/>
              </w:rPr>
            </w:pPr>
            <w:r w:rsidRPr="00EF2A47">
              <w:rPr>
                <w:sz w:val="20"/>
                <w:szCs w:val="20"/>
                <w:lang w:val="fr-FR"/>
              </w:rPr>
              <w:t xml:space="preserve"> </w:t>
            </w:r>
          </w:p>
          <w:p w14:paraId="1DBA7289" w14:textId="77777777" w:rsidR="00A74D08" w:rsidRDefault="00A74D08" w:rsidP="001D40D4">
            <w:pPr>
              <w:rPr>
                <w:sz w:val="20"/>
                <w:szCs w:val="20"/>
                <w:lang w:val="fr-FR"/>
              </w:rPr>
            </w:pPr>
          </w:p>
          <w:p w14:paraId="04E5E7B6" w14:textId="1C30095D" w:rsidR="00A74D08" w:rsidRPr="00EF2A47" w:rsidRDefault="00A74D08" w:rsidP="001D40D4">
            <w:pPr>
              <w:rPr>
                <w:sz w:val="20"/>
                <w:szCs w:val="20"/>
                <w:lang w:val="fr-FR"/>
              </w:rPr>
            </w:pPr>
          </w:p>
        </w:tc>
      </w:tr>
      <w:tr w:rsidR="008F0CCA" w:rsidRPr="0040263A" w14:paraId="4409692D" w14:textId="77777777" w:rsidTr="008F0CCA">
        <w:tc>
          <w:tcPr>
            <w:tcW w:w="2736" w:type="dxa"/>
          </w:tcPr>
          <w:p w14:paraId="46DE9E83" w14:textId="7E60EAD1" w:rsidR="008F0CCA" w:rsidRPr="00EF2A47" w:rsidRDefault="008F0CCA" w:rsidP="00D3712E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430BC5">
              <w:rPr>
                <w:b/>
                <w:color w:val="0000FF"/>
                <w:sz w:val="20"/>
                <w:szCs w:val="20"/>
                <w:lang w:val="fr-FR"/>
              </w:rPr>
              <w:t>Tâches</w:t>
            </w:r>
            <w:r w:rsidR="00D3712E" w:rsidRPr="00430BC5">
              <w:rPr>
                <w:b/>
                <w:color w:val="0000FF"/>
                <w:sz w:val="20"/>
                <w:szCs w:val="20"/>
                <w:lang w:val="fr-FR"/>
              </w:rPr>
              <w:t>-</w:t>
            </w:r>
            <w:r w:rsidRPr="00430BC5">
              <w:rPr>
                <w:b/>
                <w:color w:val="0000FF"/>
                <w:sz w:val="20"/>
                <w:szCs w:val="20"/>
                <w:lang w:val="fr-FR"/>
              </w:rPr>
              <w:t>clés et domaine</w:t>
            </w:r>
            <w:r w:rsidR="00D3712E" w:rsidRPr="00430BC5">
              <w:rPr>
                <w:b/>
                <w:color w:val="0000FF"/>
                <w:sz w:val="20"/>
                <w:szCs w:val="20"/>
                <w:lang w:val="fr-FR"/>
              </w:rPr>
              <w:t>s</w:t>
            </w:r>
            <w:r w:rsidRPr="00430BC5">
              <w:rPr>
                <w:b/>
                <w:color w:val="0000FF"/>
                <w:sz w:val="20"/>
                <w:szCs w:val="20"/>
                <w:lang w:val="fr-FR"/>
              </w:rPr>
              <w:t xml:space="preserve"> d’activité</w:t>
            </w:r>
          </w:p>
        </w:tc>
        <w:tc>
          <w:tcPr>
            <w:tcW w:w="6546" w:type="dxa"/>
          </w:tcPr>
          <w:p w14:paraId="6573DB5C" w14:textId="77777777" w:rsidR="008F0CCA" w:rsidRPr="00EF2A47" w:rsidRDefault="008F0CCA" w:rsidP="00A66F68">
            <w:pPr>
              <w:rPr>
                <w:sz w:val="20"/>
                <w:szCs w:val="20"/>
                <w:lang w:val="fr-FR"/>
              </w:rPr>
            </w:pPr>
          </w:p>
          <w:p w14:paraId="22F6A9C1" w14:textId="6A739045" w:rsidR="008F0CCA" w:rsidRPr="00430BC5" w:rsidRDefault="008F0CCA" w:rsidP="00A66F68">
            <w:pPr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 w:rsidRPr="00430BC5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Finalités</w:t>
            </w:r>
            <w:r w:rsidR="00D3712E" w:rsidRPr="00430BC5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-</w:t>
            </w:r>
            <w:r w:rsidRPr="00430BC5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clés</w:t>
            </w:r>
          </w:p>
          <w:p w14:paraId="409D5793" w14:textId="77777777" w:rsidR="008F0CCA" w:rsidRPr="00430BC5" w:rsidRDefault="008F0CCA" w:rsidP="00A66F68">
            <w:pPr>
              <w:rPr>
                <w:rFonts w:cs="Arial"/>
                <w:sz w:val="20"/>
                <w:szCs w:val="20"/>
                <w:lang w:val="fr-FR"/>
              </w:rPr>
            </w:pPr>
          </w:p>
          <w:p w14:paraId="38C6E996" w14:textId="224BD238" w:rsidR="00430BC5" w:rsidRPr="00CA7E56" w:rsidRDefault="008F0CCA" w:rsidP="00430BC5">
            <w:pPr>
              <w:rPr>
                <w:rFonts w:cs="Arial"/>
                <w:color w:val="000000"/>
                <w:sz w:val="20"/>
                <w:szCs w:val="20"/>
                <w:lang w:val="fr-BE"/>
              </w:rPr>
            </w:pPr>
            <w:r w:rsidRPr="00430BC5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Acquérir de vastes connaissances, les appliquer et les partager en ce qui concerne une spécialité opérationnelle afin de pouvoir exécuter également des interventions ou des missions atypiques, (très) complexes, </w:t>
            </w:r>
            <w:r w:rsidR="000139B2" w:rsidRPr="000139B2">
              <w:rPr>
                <w:rFonts w:cs="Arial"/>
                <w:color w:val="000000"/>
                <w:sz w:val="20"/>
                <w:szCs w:val="20"/>
                <w:lang w:val="fr-FR"/>
              </w:rPr>
              <w:t>requérant</w:t>
            </w:r>
            <w:r w:rsidRPr="000139B2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430BC5" w:rsidRPr="000139B2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un niveau de connaissances élevé, de </w:t>
            </w:r>
            <w:r w:rsidR="00430BC5" w:rsidRPr="000139B2">
              <w:rPr>
                <w:rFonts w:cs="Arial"/>
                <w:color w:val="000000"/>
                <w:sz w:val="20"/>
                <w:szCs w:val="20"/>
                <w:lang w:val="fr-BE"/>
              </w:rPr>
              <w:t>manière effective, efficiente, qualitative et sécurisée.</w:t>
            </w:r>
            <w:r w:rsidR="00430BC5" w:rsidRPr="00CA7E56">
              <w:rPr>
                <w:rFonts w:cs="Arial"/>
                <w:color w:val="000000"/>
                <w:sz w:val="20"/>
                <w:szCs w:val="20"/>
                <w:lang w:val="fr-BE"/>
              </w:rPr>
              <w:t xml:space="preserve"> </w:t>
            </w:r>
          </w:p>
          <w:p w14:paraId="41FC0060" w14:textId="77777777" w:rsidR="00430BC5" w:rsidRPr="00CA7E56" w:rsidRDefault="00430BC5" w:rsidP="00430BC5">
            <w:pPr>
              <w:jc w:val="both"/>
              <w:rPr>
                <w:rFonts w:cs="Arial"/>
                <w:sz w:val="20"/>
                <w:szCs w:val="20"/>
                <w:lang w:val="fr-BE"/>
              </w:rPr>
            </w:pPr>
          </w:p>
          <w:p w14:paraId="730B9B43" w14:textId="38CA024C" w:rsidR="008F0CCA" w:rsidRPr="00430BC5" w:rsidRDefault="008F0CCA" w:rsidP="00A66F68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1F503CC6" w14:textId="74CCEF21" w:rsidR="008F0CCA" w:rsidRPr="00430BC5" w:rsidRDefault="00EF2A47" w:rsidP="00A66F68">
            <w:pPr>
              <w:ind w:firstLine="360"/>
              <w:outlineLvl w:val="0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430BC5">
              <w:rPr>
                <w:rFonts w:cs="Arial"/>
                <w:sz w:val="20"/>
                <w:szCs w:val="20"/>
                <w:u w:val="single"/>
                <w:lang w:val="fr-FR"/>
              </w:rPr>
              <w:t xml:space="preserve">Tâches possibles (non limitatives) </w:t>
            </w:r>
            <w:r w:rsidR="008F0CCA" w:rsidRPr="00430BC5">
              <w:rPr>
                <w:rFonts w:cs="Arial"/>
                <w:sz w:val="20"/>
                <w:szCs w:val="20"/>
                <w:u w:val="single"/>
                <w:lang w:val="fr-FR"/>
              </w:rPr>
              <w:t>:</w:t>
            </w:r>
          </w:p>
          <w:p w14:paraId="3BFE3BEE" w14:textId="75816410" w:rsidR="00EF2A47" w:rsidRPr="00430BC5" w:rsidRDefault="00F77BDF" w:rsidP="00EF2A47">
            <w:pPr>
              <w:numPr>
                <w:ilvl w:val="0"/>
                <w:numId w:val="10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430BC5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Acquérir </w:t>
            </w:r>
            <w:r w:rsidR="00EF2A47" w:rsidRPr="00430BC5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de nouvelles connaissances et </w:t>
            </w:r>
            <w:r w:rsidRPr="00430BC5">
              <w:rPr>
                <w:rFonts w:cs="Arial"/>
                <w:color w:val="000000"/>
                <w:sz w:val="20"/>
                <w:szCs w:val="20"/>
                <w:lang w:val="fr-FR"/>
              </w:rPr>
              <w:t>développer de nouvelles</w:t>
            </w:r>
            <w:r w:rsidR="00EF2A47" w:rsidRPr="00430BC5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aptitudes.</w:t>
            </w:r>
          </w:p>
          <w:p w14:paraId="64497FAF" w14:textId="1EAE25DC" w:rsidR="00EF2A47" w:rsidRPr="00EF2A47" w:rsidRDefault="00EF2A47" w:rsidP="00EF2A47">
            <w:pPr>
              <w:numPr>
                <w:ilvl w:val="0"/>
                <w:numId w:val="10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EF2A47">
              <w:rPr>
                <w:rFonts w:cs="Arial"/>
                <w:color w:val="000000"/>
                <w:sz w:val="20"/>
                <w:szCs w:val="20"/>
                <w:lang w:val="fr-FR"/>
              </w:rPr>
              <w:t>Donner un avis opérationnel et technique relatif à des matières particulièrement complexes ou impliquant des dangers majeurs (substances dangereuses, techniques de sauvetage complexes, etc.).</w:t>
            </w:r>
          </w:p>
          <w:p w14:paraId="53A38A9C" w14:textId="77777777" w:rsidR="00980F96" w:rsidRPr="00EF2A47" w:rsidRDefault="00980F96" w:rsidP="000139B2">
            <w:pPr>
              <w:ind w:left="720"/>
              <w:rPr>
                <w:sz w:val="20"/>
                <w:szCs w:val="20"/>
                <w:lang w:val="fr-FR"/>
              </w:rPr>
            </w:pPr>
          </w:p>
        </w:tc>
      </w:tr>
      <w:tr w:rsidR="008F0CCA" w:rsidRPr="0040263A" w14:paraId="21EDB3D2" w14:textId="77777777" w:rsidTr="008F0CCA">
        <w:tc>
          <w:tcPr>
            <w:tcW w:w="2736" w:type="dxa"/>
          </w:tcPr>
          <w:p w14:paraId="21D05839" w14:textId="39A6D07A" w:rsidR="008F0CCA" w:rsidRPr="00EF2A47" w:rsidRDefault="008F0CCA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EF2A47">
              <w:rPr>
                <w:b/>
                <w:color w:val="0000FF"/>
                <w:sz w:val="20"/>
                <w:szCs w:val="20"/>
                <w:lang w:val="fr-FR"/>
              </w:rPr>
              <w:t>Place dans l'organisation</w:t>
            </w:r>
          </w:p>
        </w:tc>
        <w:tc>
          <w:tcPr>
            <w:tcW w:w="6546" w:type="dxa"/>
          </w:tcPr>
          <w:p w14:paraId="07B80603" w14:textId="77777777" w:rsidR="008F0CCA" w:rsidRPr="00EF2A47" w:rsidRDefault="008F0CCA" w:rsidP="00B65117">
            <w:pPr>
              <w:jc w:val="both"/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</w:p>
          <w:p w14:paraId="4EDE2201" w14:textId="77777777" w:rsidR="00EF2A47" w:rsidRPr="005D4B65" w:rsidRDefault="00EF2A47" w:rsidP="00EF2A47">
            <w:pPr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lang w:val="fr-FR"/>
              </w:rPr>
              <w:t xml:space="preserve">La fonction est dirigée par </w:t>
            </w:r>
            <w:r w:rsidRPr="005D4B65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:</w:t>
            </w:r>
          </w:p>
          <w:p w14:paraId="3ACB4F90" w14:textId="78541FC1" w:rsidR="00EF2A47" w:rsidRDefault="00EF2A47" w:rsidP="00EF2A47">
            <w:pPr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 xml:space="preserve">Dans des situations opérationnelles, il est </w:t>
            </w:r>
            <w:r w:rsidR="00980F96">
              <w:rPr>
                <w:rFonts w:cs="Arial"/>
                <w:sz w:val="20"/>
                <w:szCs w:val="20"/>
                <w:lang w:val="fr-FR"/>
              </w:rPr>
              <w:t>placé sous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la direction fonctionnelle d'un </w:t>
            </w:r>
            <w:r w:rsidR="00980F96">
              <w:rPr>
                <w:rFonts w:cs="Arial"/>
                <w:sz w:val="20"/>
                <w:szCs w:val="20"/>
                <w:lang w:val="fr-FR"/>
              </w:rPr>
              <w:t>o</w:t>
            </w:r>
            <w:r>
              <w:rPr>
                <w:rFonts w:cs="Arial"/>
                <w:sz w:val="20"/>
                <w:szCs w:val="20"/>
                <w:lang w:val="fr-FR"/>
              </w:rPr>
              <w:t>ff</w:t>
            </w:r>
            <w:r w:rsidR="00980F96">
              <w:rPr>
                <w:rFonts w:cs="Arial"/>
                <w:sz w:val="20"/>
                <w:szCs w:val="20"/>
                <w:lang w:val="fr-FR"/>
              </w:rPr>
              <w:t>icier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supérieur.</w:t>
            </w:r>
          </w:p>
          <w:p w14:paraId="24B820EE" w14:textId="77777777" w:rsidR="00EF2A47" w:rsidRPr="005D4B65" w:rsidRDefault="00EF2A47" w:rsidP="00EF2A47">
            <w:pPr>
              <w:rPr>
                <w:rFonts w:cs="Arial"/>
                <w:sz w:val="20"/>
                <w:szCs w:val="20"/>
                <w:lang w:val="fr-FR"/>
              </w:rPr>
            </w:pPr>
          </w:p>
          <w:p w14:paraId="46D4073A" w14:textId="77777777" w:rsidR="00EF2A47" w:rsidRPr="005D4B65" w:rsidRDefault="00EF2A47" w:rsidP="00EF2A47">
            <w:pPr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lang w:val="fr-FR"/>
              </w:rPr>
              <w:t xml:space="preserve">La fonction dirige </w:t>
            </w:r>
            <w:r w:rsidRPr="005D4B65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:</w:t>
            </w:r>
          </w:p>
          <w:p w14:paraId="4F2621D3" w14:textId="54CFB52F" w:rsidR="00EF2A47" w:rsidRPr="005D4B65" w:rsidRDefault="00EF2A47" w:rsidP="00EF2A47">
            <w:pPr>
              <w:outlineLvl w:val="0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Un groupe d'experts ou spécialistes opérationnels.</w:t>
            </w:r>
          </w:p>
          <w:p w14:paraId="2895C913" w14:textId="77777777" w:rsidR="008F0CCA" w:rsidRDefault="008F0CCA" w:rsidP="00A66F68">
            <w:pPr>
              <w:rPr>
                <w:sz w:val="20"/>
                <w:szCs w:val="20"/>
                <w:lang w:val="fr-FR"/>
              </w:rPr>
            </w:pPr>
          </w:p>
          <w:p w14:paraId="154FB7F8" w14:textId="77777777" w:rsidR="00980F96" w:rsidRDefault="00980F96" w:rsidP="00A66F68">
            <w:pPr>
              <w:rPr>
                <w:sz w:val="20"/>
                <w:szCs w:val="20"/>
                <w:lang w:val="fr-FR"/>
              </w:rPr>
            </w:pPr>
          </w:p>
          <w:p w14:paraId="50D54CBC" w14:textId="77777777" w:rsidR="00980F96" w:rsidRPr="00EF2A47" w:rsidRDefault="00980F96" w:rsidP="00A66F68">
            <w:pPr>
              <w:rPr>
                <w:sz w:val="20"/>
                <w:szCs w:val="20"/>
                <w:lang w:val="fr-FR"/>
              </w:rPr>
            </w:pPr>
          </w:p>
        </w:tc>
      </w:tr>
      <w:tr w:rsidR="008F0CCA" w:rsidRPr="0040263A" w14:paraId="4445A9E7" w14:textId="77777777" w:rsidTr="008F0CCA">
        <w:tc>
          <w:tcPr>
            <w:tcW w:w="2736" w:type="dxa"/>
          </w:tcPr>
          <w:p w14:paraId="2CDB6464" w14:textId="77777777" w:rsidR="008F0CCA" w:rsidRPr="00EF2A47" w:rsidRDefault="008F0CCA" w:rsidP="0035349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0BB3CE41" w14:textId="5F74613E" w:rsidR="008F0CCA" w:rsidRPr="00EF2A47" w:rsidRDefault="008F0CCA" w:rsidP="00D93787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6" w:type="dxa"/>
          </w:tcPr>
          <w:p w14:paraId="44961D58" w14:textId="77777777" w:rsidR="008F0CCA" w:rsidRPr="00EF2A47" w:rsidRDefault="008F0CCA" w:rsidP="00C24CDE">
            <w:pPr>
              <w:rPr>
                <w:sz w:val="20"/>
                <w:szCs w:val="20"/>
                <w:lang w:val="fr-FR"/>
              </w:rPr>
            </w:pPr>
          </w:p>
          <w:p w14:paraId="75A1F8B3" w14:textId="77777777" w:rsidR="00EF2A47" w:rsidRDefault="00EF2A47" w:rsidP="00EF2A47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description de fonction pour les parties :</w:t>
            </w:r>
          </w:p>
          <w:p w14:paraId="61CEE83B" w14:textId="77777777" w:rsidR="00EF2A47" w:rsidRPr="00A02B45" w:rsidRDefault="00EF2A47" w:rsidP="00EF2A47">
            <w:pPr>
              <w:pStyle w:val="Lijstalinea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Eléments de réseau</w:t>
            </w:r>
          </w:p>
          <w:p w14:paraId="59B00D5A" w14:textId="77777777" w:rsidR="00EF2A47" w:rsidRPr="00A02B45" w:rsidRDefault="00EF2A47" w:rsidP="00EF2A47">
            <w:pPr>
              <w:pStyle w:val="Lijstalinea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02B45">
              <w:rPr>
                <w:rFonts w:ascii="Arial" w:hAnsi="Arial" w:cs="Arial"/>
                <w:sz w:val="20"/>
                <w:szCs w:val="20"/>
                <w:lang w:val="fr-FR"/>
              </w:rPr>
              <w:t>Autonomie</w:t>
            </w:r>
          </w:p>
          <w:p w14:paraId="51FD2171" w14:textId="77777777" w:rsidR="00EF2A47" w:rsidRPr="00A02B45" w:rsidRDefault="00EF2A47" w:rsidP="00EF2A47">
            <w:pPr>
              <w:pStyle w:val="Lijstalinea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02B45">
              <w:rPr>
                <w:rFonts w:ascii="Arial" w:hAnsi="Arial" w:cs="Arial"/>
                <w:sz w:val="20"/>
                <w:szCs w:val="20"/>
                <w:lang w:val="fr-FR"/>
              </w:rPr>
              <w:t>Situations et conditions de travail</w:t>
            </w:r>
          </w:p>
          <w:p w14:paraId="4E532367" w14:textId="77777777" w:rsidR="00980F96" w:rsidRDefault="00980F96" w:rsidP="00EF2A47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</w:p>
          <w:p w14:paraId="094FDC45" w14:textId="77777777" w:rsidR="00980F96" w:rsidRPr="005050E7" w:rsidRDefault="00980F96" w:rsidP="00980F96">
            <w:pPr>
              <w:jc w:val="both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es</w:t>
            </w:r>
            <w:r w:rsidR="00EF2A47">
              <w:rPr>
                <w:sz w:val="20"/>
                <w:szCs w:val="20"/>
                <w:lang w:val="fr-FR"/>
              </w:rPr>
              <w:t xml:space="preserve">t disponible dans la </w:t>
            </w:r>
            <w:r w:rsidR="003A0854">
              <w:rPr>
                <w:sz w:val="20"/>
                <w:szCs w:val="20"/>
                <w:lang w:val="fr-FR"/>
              </w:rPr>
              <w:t xml:space="preserve">description de </w:t>
            </w:r>
            <w:r w:rsidR="00EF2A47">
              <w:rPr>
                <w:sz w:val="20"/>
                <w:szCs w:val="20"/>
                <w:lang w:val="fr-FR"/>
              </w:rPr>
              <w:t>fonc</w:t>
            </w:r>
            <w:r>
              <w:rPr>
                <w:sz w:val="20"/>
                <w:szCs w:val="20"/>
                <w:lang w:val="fr-FR"/>
              </w:rPr>
              <w:t xml:space="preserve">tion connexe du cadre supérieur </w:t>
            </w:r>
            <w:r w:rsidRPr="005050E7">
              <w:rPr>
                <w:sz w:val="20"/>
                <w:szCs w:val="20"/>
                <w:lang w:val="fr-FR"/>
              </w:rPr>
              <w:t xml:space="preserve">ou selon les dispositions de l’arrêté royal du </w:t>
            </w:r>
            <w:r w:rsidRPr="005050E7">
              <w:rPr>
                <w:rFonts w:cs="Arial"/>
                <w:sz w:val="20"/>
                <w:szCs w:val="20"/>
                <w:lang w:val="fr-FR"/>
              </w:rPr>
              <w:t>19 avril 2014 relatif au statut du personnel opérationnel des zones de secours.</w:t>
            </w:r>
          </w:p>
          <w:p w14:paraId="1AF8579C" w14:textId="7AEA4B18" w:rsidR="008F0CCA" w:rsidRPr="00EF2A47" w:rsidRDefault="008F0CCA" w:rsidP="00980F96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</w:p>
        </w:tc>
      </w:tr>
    </w:tbl>
    <w:p w14:paraId="65A2F09D" w14:textId="77777777" w:rsidR="00980F96" w:rsidRDefault="00980F96" w:rsidP="00980F96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</w:p>
    <w:p w14:paraId="36F59299" w14:textId="77777777" w:rsidR="00980F96" w:rsidRDefault="00980F96" w:rsidP="00980F96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</w:p>
    <w:p w14:paraId="2F1D30B9" w14:textId="77777777" w:rsidR="00980F96" w:rsidRPr="007335DC" w:rsidRDefault="00980F96" w:rsidP="00980F96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 xml:space="preserve">Vu pour être annexé à </w:t>
      </w:r>
      <w:r>
        <w:rPr>
          <w:rFonts w:ascii="Univers" w:eastAsia="Times New Roman" w:hAnsi="Univers"/>
          <w:color w:val="000000"/>
          <w:lang w:val="fr-FR" w:eastAsia="fr-BE"/>
        </w:rPr>
        <w:t>l’</w:t>
      </w:r>
      <w:r w:rsidRPr="007335DC">
        <w:rPr>
          <w:rFonts w:ascii="Univers" w:eastAsia="Times New Roman" w:hAnsi="Univers"/>
          <w:color w:val="000000"/>
          <w:lang w:val="fr-FR" w:eastAsia="fr-BE"/>
        </w:rPr>
        <w:t>arrêté du … fixant les descriptions de fonction du personnel opérationnel des zones de secours</w:t>
      </w:r>
    </w:p>
    <w:p w14:paraId="0DE2F7BC" w14:textId="77777777" w:rsidR="00980F96" w:rsidRPr="007335DC" w:rsidRDefault="00980F96" w:rsidP="00980F96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5746A88F" w14:textId="77777777" w:rsidR="00980F96" w:rsidRPr="007335DC" w:rsidRDefault="00980F96" w:rsidP="00980F96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4CBD57CE" w14:textId="77777777" w:rsidR="00980F96" w:rsidRPr="007335DC" w:rsidRDefault="00980F96" w:rsidP="00980F96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16DE5C38" w14:textId="77777777" w:rsidR="00980F96" w:rsidRPr="007335DC" w:rsidRDefault="00980F96" w:rsidP="00980F96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6B8496C6" w14:textId="77777777" w:rsidR="00980F96" w:rsidRPr="007335DC" w:rsidRDefault="00980F96" w:rsidP="00980F96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5899203E" w14:textId="77777777" w:rsidR="00980F96" w:rsidRPr="007335DC" w:rsidRDefault="00980F96" w:rsidP="00980F96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0576BD2C" w14:textId="77777777" w:rsidR="00980F96" w:rsidRPr="007335DC" w:rsidRDefault="00980F96" w:rsidP="00980F96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374401E0" w14:textId="77777777" w:rsidR="00980F96" w:rsidRPr="007335DC" w:rsidRDefault="00980F96" w:rsidP="00980F96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4708AD64" w14:textId="77777777" w:rsidR="00980F96" w:rsidRPr="007335DC" w:rsidRDefault="00980F96" w:rsidP="00980F96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</w:p>
    <w:p w14:paraId="32F0A5F4" w14:textId="77777777" w:rsidR="00980F96" w:rsidRPr="007335DC" w:rsidRDefault="00980F96" w:rsidP="00980F96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>Jan JAMBON</w:t>
      </w:r>
    </w:p>
    <w:p w14:paraId="551B4633" w14:textId="77777777" w:rsidR="00980F96" w:rsidRPr="007335DC" w:rsidRDefault="00980F96" w:rsidP="00980F96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1260F416" w14:textId="77777777" w:rsidR="00980F96" w:rsidRPr="00BF221A" w:rsidRDefault="00980F96" w:rsidP="00980F96">
      <w:pPr>
        <w:rPr>
          <w:lang w:val="fr-FR"/>
        </w:rPr>
      </w:pPr>
    </w:p>
    <w:p w14:paraId="2C80B680" w14:textId="77777777" w:rsidR="00980F96" w:rsidRPr="00BF221A" w:rsidRDefault="00980F96" w:rsidP="00980F96">
      <w:pPr>
        <w:rPr>
          <w:lang w:val="fr-FR"/>
        </w:rPr>
      </w:pPr>
    </w:p>
    <w:p w14:paraId="5FAF8044" w14:textId="77777777" w:rsidR="00C1200D" w:rsidRPr="00EF2A47" w:rsidRDefault="00C1200D" w:rsidP="00E2473C">
      <w:pPr>
        <w:rPr>
          <w:lang w:val="fr-FR"/>
        </w:rPr>
      </w:pPr>
    </w:p>
    <w:sectPr w:rsidR="00C1200D" w:rsidRPr="00EF2A47" w:rsidSect="001F40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A019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D1FA2" w14:textId="77777777" w:rsidR="00E43270" w:rsidRDefault="00E43270" w:rsidP="008F4853">
      <w:r>
        <w:separator/>
      </w:r>
    </w:p>
  </w:endnote>
  <w:endnote w:type="continuationSeparator" w:id="0">
    <w:p w14:paraId="2BC3B363" w14:textId="77777777" w:rsidR="00E43270" w:rsidRDefault="00E43270" w:rsidP="008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39783" w14:textId="77777777" w:rsidR="00E43270" w:rsidRDefault="00E43270" w:rsidP="008F4853">
      <w:r>
        <w:separator/>
      </w:r>
    </w:p>
  </w:footnote>
  <w:footnote w:type="continuationSeparator" w:id="0">
    <w:p w14:paraId="6FCCE6CA" w14:textId="77777777" w:rsidR="00E43270" w:rsidRDefault="00E43270" w:rsidP="008F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C5D"/>
    <w:multiLevelType w:val="hybridMultilevel"/>
    <w:tmpl w:val="DC46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10C62"/>
    <w:multiLevelType w:val="hybridMultilevel"/>
    <w:tmpl w:val="987C613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CB62C4"/>
    <w:multiLevelType w:val="hybridMultilevel"/>
    <w:tmpl w:val="944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F2DB5"/>
    <w:multiLevelType w:val="hybridMultilevel"/>
    <w:tmpl w:val="8BEEBDE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DC6DBE"/>
    <w:multiLevelType w:val="hybridMultilevel"/>
    <w:tmpl w:val="C658C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50A63"/>
    <w:multiLevelType w:val="hybridMultilevel"/>
    <w:tmpl w:val="7122A16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81"/>
    <w:rsid w:val="000139B2"/>
    <w:rsid w:val="00026778"/>
    <w:rsid w:val="00123D5E"/>
    <w:rsid w:val="001D40D4"/>
    <w:rsid w:val="001F4078"/>
    <w:rsid w:val="003204FF"/>
    <w:rsid w:val="0035647D"/>
    <w:rsid w:val="0035708C"/>
    <w:rsid w:val="00377A38"/>
    <w:rsid w:val="003A0854"/>
    <w:rsid w:val="003B3C19"/>
    <w:rsid w:val="00401C62"/>
    <w:rsid w:val="0040263A"/>
    <w:rsid w:val="00430BC5"/>
    <w:rsid w:val="004574B4"/>
    <w:rsid w:val="004753E4"/>
    <w:rsid w:val="00524992"/>
    <w:rsid w:val="005A3477"/>
    <w:rsid w:val="006400C9"/>
    <w:rsid w:val="006A163E"/>
    <w:rsid w:val="007E416B"/>
    <w:rsid w:val="007F2A66"/>
    <w:rsid w:val="00855F9D"/>
    <w:rsid w:val="008655BE"/>
    <w:rsid w:val="008662C6"/>
    <w:rsid w:val="008F0CCA"/>
    <w:rsid w:val="008F4853"/>
    <w:rsid w:val="00917175"/>
    <w:rsid w:val="00927DFA"/>
    <w:rsid w:val="00973B7D"/>
    <w:rsid w:val="00975D54"/>
    <w:rsid w:val="00980F96"/>
    <w:rsid w:val="00981462"/>
    <w:rsid w:val="009A0481"/>
    <w:rsid w:val="009A2240"/>
    <w:rsid w:val="00A66F68"/>
    <w:rsid w:val="00A74D08"/>
    <w:rsid w:val="00B311DD"/>
    <w:rsid w:val="00B40FF0"/>
    <w:rsid w:val="00B54CCE"/>
    <w:rsid w:val="00B613F3"/>
    <w:rsid w:val="00B65117"/>
    <w:rsid w:val="00B85459"/>
    <w:rsid w:val="00C1200D"/>
    <w:rsid w:val="00C20E6D"/>
    <w:rsid w:val="00C95DA4"/>
    <w:rsid w:val="00CC5128"/>
    <w:rsid w:val="00CE6A6F"/>
    <w:rsid w:val="00D12C9D"/>
    <w:rsid w:val="00D2559F"/>
    <w:rsid w:val="00D27580"/>
    <w:rsid w:val="00D3712E"/>
    <w:rsid w:val="00D92BA3"/>
    <w:rsid w:val="00D93787"/>
    <w:rsid w:val="00DB7FB8"/>
    <w:rsid w:val="00E2473C"/>
    <w:rsid w:val="00E43270"/>
    <w:rsid w:val="00E9399D"/>
    <w:rsid w:val="00EA3B26"/>
    <w:rsid w:val="00EC4FE1"/>
    <w:rsid w:val="00EF2A47"/>
    <w:rsid w:val="00F7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79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2A66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A66"/>
    <w:rPr>
      <w:rFonts w:ascii="Lucida Grande" w:hAnsi="Lucida Grande" w:cs="Times New Roman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74B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74B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74B4"/>
    <w:rPr>
      <w:rFonts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74B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74B4"/>
    <w:rPr>
      <w:rFonts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2A66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A66"/>
    <w:rPr>
      <w:rFonts w:ascii="Lucida Grande" w:hAnsi="Lucida Grande" w:cs="Times New Roman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74B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74B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74B4"/>
    <w:rPr>
      <w:rFonts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74B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74B4"/>
    <w:rPr>
      <w:rFonts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Brandweer Roeselare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Vangierdegom</dc:creator>
  <cp:lastModifiedBy>IBZ</cp:lastModifiedBy>
  <cp:revision>2</cp:revision>
  <cp:lastPrinted>2014-05-05T09:59:00Z</cp:lastPrinted>
  <dcterms:created xsi:type="dcterms:W3CDTF">2016-04-19T09:34:00Z</dcterms:created>
  <dcterms:modified xsi:type="dcterms:W3CDTF">2016-04-19T09:34:00Z</dcterms:modified>
</cp:coreProperties>
</file>