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7" w:rsidRPr="00B33ACD" w:rsidRDefault="00F71C9E" w:rsidP="00F71C9E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11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6"/>
        <w:gridCol w:w="6546"/>
      </w:tblGrid>
      <w:tr w:rsidR="005A3477" w:rsidRPr="00B33ACD" w:rsidTr="00961793">
        <w:trPr>
          <w:trHeight w:val="367"/>
        </w:trPr>
        <w:tc>
          <w:tcPr>
            <w:tcW w:w="2736" w:type="dxa"/>
            <w:vMerge w:val="restart"/>
            <w:tcBorders>
              <w:right w:val="single" w:sz="4" w:space="0" w:color="auto"/>
            </w:tcBorders>
          </w:tcPr>
          <w:p w:rsidR="005A3477" w:rsidRPr="00B33ACD" w:rsidRDefault="005A3477" w:rsidP="00FB6309">
            <w:pPr>
              <w:jc w:val="center"/>
              <w:rPr>
                <w:lang w:val="fr-FR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3477" w:rsidRPr="00B33ACD" w:rsidRDefault="005A3477" w:rsidP="00FB6309">
            <w:pPr>
              <w:jc w:val="center"/>
              <w:rPr>
                <w:lang w:val="fr-FR"/>
              </w:rPr>
            </w:pPr>
          </w:p>
          <w:p w:rsidR="005A3477" w:rsidRPr="00B33ACD" w:rsidRDefault="00FB6309" w:rsidP="00FB6309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B33ACD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:rsidR="005A3477" w:rsidRPr="00B33ACD" w:rsidRDefault="005A3477" w:rsidP="00FB6309">
            <w:pPr>
              <w:jc w:val="center"/>
              <w:rPr>
                <w:lang w:val="fr-FR"/>
              </w:rPr>
            </w:pPr>
          </w:p>
        </w:tc>
      </w:tr>
      <w:tr w:rsidR="005A3477" w:rsidRPr="00B33ACD" w:rsidTr="00961793">
        <w:trPr>
          <w:trHeight w:val="366"/>
        </w:trPr>
        <w:tc>
          <w:tcPr>
            <w:tcW w:w="2736" w:type="dxa"/>
            <w:vMerge/>
            <w:tcBorders>
              <w:right w:val="single" w:sz="4" w:space="0" w:color="auto"/>
            </w:tcBorders>
          </w:tcPr>
          <w:p w:rsidR="005A3477" w:rsidRPr="00B33ACD" w:rsidRDefault="005A3477" w:rsidP="00FB6309">
            <w:pPr>
              <w:jc w:val="center"/>
              <w:rPr>
                <w:lang w:val="fr-FR"/>
              </w:rPr>
            </w:pPr>
          </w:p>
        </w:tc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477" w:rsidRDefault="00A36135" w:rsidP="00FB630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36"/>
                <w:szCs w:val="36"/>
                <w:lang w:val="fr-FR"/>
              </w:rPr>
            </w:pPr>
            <w:r>
              <w:rPr>
                <w:b/>
                <w:color w:val="0000FF"/>
                <w:sz w:val="36"/>
                <w:szCs w:val="36"/>
                <w:lang w:val="fr-FR"/>
              </w:rPr>
              <w:t>Assistant</w:t>
            </w:r>
            <w:r w:rsidRPr="00B33ACD">
              <w:rPr>
                <w:b/>
                <w:color w:val="0000FF"/>
                <w:sz w:val="36"/>
                <w:szCs w:val="36"/>
                <w:lang w:val="fr-FR"/>
              </w:rPr>
              <w:t xml:space="preserve"> </w:t>
            </w:r>
            <w:r w:rsidR="00FB6309" w:rsidRPr="00B33ACD">
              <w:rPr>
                <w:b/>
                <w:color w:val="0000FF"/>
                <w:sz w:val="36"/>
                <w:szCs w:val="36"/>
                <w:lang w:val="fr-FR"/>
              </w:rPr>
              <w:t>appui opérationnel</w:t>
            </w:r>
          </w:p>
          <w:p w:rsidR="00A36135" w:rsidRPr="00B33ACD" w:rsidRDefault="00A36135" w:rsidP="00FB630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32"/>
                <w:szCs w:val="32"/>
                <w:lang w:val="fr-FR"/>
              </w:rPr>
            </w:pPr>
          </w:p>
        </w:tc>
      </w:tr>
      <w:tr w:rsidR="006400C9" w:rsidRPr="00D91ADB" w:rsidTr="00961793">
        <w:tc>
          <w:tcPr>
            <w:tcW w:w="2736" w:type="dxa"/>
          </w:tcPr>
          <w:p w:rsidR="006400C9" w:rsidRPr="00B33ACD" w:rsidRDefault="006400C9" w:rsidP="00FB6309">
            <w:pPr>
              <w:jc w:val="both"/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tcBorders>
              <w:top w:val="single" w:sz="4" w:space="0" w:color="auto"/>
            </w:tcBorders>
          </w:tcPr>
          <w:p w:rsidR="00A660D8" w:rsidRPr="00B33ACD" w:rsidRDefault="00A660D8" w:rsidP="00FB6309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lang w:val="fr-FR"/>
              </w:rPr>
            </w:pPr>
          </w:p>
          <w:p w:rsidR="00A26980" w:rsidRDefault="00FB6309" w:rsidP="00F71C9E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B33ACD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AE0A39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B33ACD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associée à celle de sapeur-pompier ou de caporal. </w:t>
            </w:r>
          </w:p>
          <w:p w:rsidR="00A26980" w:rsidRDefault="00A26980" w:rsidP="00F71C9E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2453FC" w:rsidRPr="00B33ACD" w:rsidRDefault="00FB6309" w:rsidP="00F71C9E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B33ACD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fonction de son analyse des risques</w:t>
            </w:r>
            <w:r w:rsidR="002453FC" w:rsidRPr="00B33ACD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2453FC" w:rsidRPr="00B33ACD" w:rsidRDefault="002453FC" w:rsidP="00F71C9E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FB6309" w:rsidRPr="00B33ACD" w:rsidRDefault="00FB6309" w:rsidP="00F71C9E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B33ACD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peut également être reprise dans le cadre de la réaffectation sur requête </w:t>
            </w:r>
            <w:r w:rsidRPr="00BC692A">
              <w:rPr>
                <w:rFonts w:cs="Arial"/>
                <w:color w:val="000000"/>
                <w:sz w:val="20"/>
                <w:szCs w:val="20"/>
                <w:lang w:val="fr-FR"/>
              </w:rPr>
              <w:t>volontaire, prévu</w:t>
            </w:r>
            <w:r w:rsidR="009F6D92" w:rsidRPr="00BC692A">
              <w:rPr>
                <w:rFonts w:cs="Arial"/>
                <w:color w:val="000000"/>
                <w:sz w:val="20"/>
                <w:szCs w:val="20"/>
                <w:lang w:val="fr-FR"/>
              </w:rPr>
              <w:t>e</w:t>
            </w:r>
            <w:r w:rsidRPr="00BC692A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à l'article 119 de l'arrêté royal du 19 avril 2014 relatif au statut du personnel opérationnel des zones de secours</w:t>
            </w:r>
            <w:r w:rsidRPr="00B33ACD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FB6309" w:rsidRPr="00B33ACD" w:rsidRDefault="00FB6309" w:rsidP="00F71C9E">
            <w:pPr>
              <w:pStyle w:val="Norma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fr-FR"/>
              </w:rPr>
            </w:pPr>
          </w:p>
          <w:p w:rsidR="00A660D8" w:rsidRPr="00B33ACD" w:rsidRDefault="00FB6309" w:rsidP="00F71C9E">
            <w:pPr>
              <w:pStyle w:val="Norma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B33ACD">
              <w:rPr>
                <w:rFonts w:ascii="Arial" w:hAnsi="Arial" w:cs="Arial"/>
                <w:color w:val="000000"/>
                <w:lang w:val="fr-FR"/>
              </w:rPr>
              <w:t xml:space="preserve">Cette fonction peut également être reprise dans le cadre </w:t>
            </w:r>
            <w:r w:rsidR="0046094F" w:rsidRPr="0046094F">
              <w:rPr>
                <w:rFonts w:ascii="Arial" w:hAnsi="Arial" w:cs="Arial"/>
                <w:color w:val="000000"/>
                <w:lang w:val="fr-FR"/>
              </w:rPr>
              <w:t>de l’arrêté ministériel du 11 juin 2015 fixant la liste des fonctions allégées, adaptées visées à l'article 126, alinéa 3, de l'arrêté royal du 19 avril 2014 relatif au statut administratif du personnel opérationnel des zones de secours.</w:t>
            </w:r>
          </w:p>
          <w:p w:rsidR="006E19B3" w:rsidRPr="00B33ACD" w:rsidRDefault="006E19B3" w:rsidP="00FB6309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lang w:val="fr-FR"/>
              </w:rPr>
            </w:pPr>
          </w:p>
        </w:tc>
      </w:tr>
      <w:tr w:rsidR="00FB6309" w:rsidRPr="00D91ADB" w:rsidTr="00961793">
        <w:tc>
          <w:tcPr>
            <w:tcW w:w="2736" w:type="dxa"/>
          </w:tcPr>
          <w:p w:rsidR="00FB6309" w:rsidRPr="00B33ACD" w:rsidRDefault="00FB6309" w:rsidP="00FB6309">
            <w:pPr>
              <w:jc w:val="both"/>
              <w:rPr>
                <w:b/>
                <w:color w:val="0000FF"/>
                <w:sz w:val="20"/>
                <w:szCs w:val="20"/>
                <w:lang w:val="fr-FR"/>
              </w:rPr>
            </w:pPr>
            <w:r w:rsidRPr="00B33ACD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6546" w:type="dxa"/>
            <w:tcBorders>
              <w:top w:val="single" w:sz="4" w:space="0" w:color="auto"/>
            </w:tcBorders>
          </w:tcPr>
          <w:p w:rsidR="00FB6309" w:rsidRPr="00B33ACD" w:rsidRDefault="00FB6309" w:rsidP="00FB6309">
            <w:pPr>
              <w:jc w:val="both"/>
              <w:rPr>
                <w:sz w:val="20"/>
                <w:szCs w:val="20"/>
                <w:lang w:val="fr-FR"/>
              </w:rPr>
            </w:pPr>
          </w:p>
          <w:p w:rsidR="00FB6309" w:rsidRDefault="00F71C9E" w:rsidP="00F71C9E">
            <w:pPr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Collaborer </w:t>
            </w:r>
            <w:r w:rsidR="00E67D1A">
              <w:rPr>
                <w:rFonts w:cs="Arial"/>
                <w:color w:val="000000"/>
                <w:sz w:val="20"/>
                <w:szCs w:val="20"/>
                <w:lang w:val="fr-FR"/>
              </w:rPr>
              <w:t>avec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F77052" w:rsidRPr="00B33ACD">
              <w:rPr>
                <w:rFonts w:cs="Arial"/>
                <w:color w:val="000000"/>
                <w:sz w:val="20"/>
                <w:szCs w:val="20"/>
                <w:lang w:val="fr-FR"/>
              </w:rPr>
              <w:t>un</w:t>
            </w:r>
            <w:r w:rsidR="00E67D1A">
              <w:rPr>
                <w:rFonts w:cs="Arial"/>
                <w:color w:val="000000"/>
                <w:sz w:val="20"/>
                <w:szCs w:val="20"/>
                <w:lang w:val="fr-FR"/>
              </w:rPr>
              <w:t>e équipe</w:t>
            </w:r>
            <w:r w:rsidR="00F77052" w:rsidRPr="00B33ACD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376369" w:rsidRPr="00B33ACD">
              <w:rPr>
                <w:rFonts w:cs="Arial"/>
                <w:color w:val="000000"/>
                <w:sz w:val="20"/>
                <w:szCs w:val="20"/>
                <w:lang w:val="fr-FR"/>
              </w:rPr>
              <w:t>d</w:t>
            </w:r>
            <w:r w:rsidR="00376369">
              <w:rPr>
                <w:rFonts w:cs="Arial"/>
                <w:color w:val="000000"/>
                <w:sz w:val="20"/>
                <w:szCs w:val="20"/>
                <w:lang w:val="fr-FR"/>
              </w:rPr>
              <w:t>’</w:t>
            </w:r>
            <w:r w:rsidR="00A36135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assistants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et d</w:t>
            </w:r>
            <w:r w:rsidR="00376369">
              <w:rPr>
                <w:rFonts w:cs="Arial"/>
                <w:color w:val="000000"/>
                <w:sz w:val="20"/>
                <w:szCs w:val="20"/>
                <w:lang w:val="fr-FR"/>
              </w:rPr>
              <w:t>’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experts opérationnels.</w:t>
            </w:r>
          </w:p>
          <w:p w:rsidR="00F71C9E" w:rsidRPr="00B33ACD" w:rsidRDefault="00F71C9E" w:rsidP="00F71C9E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FB6309" w:rsidRPr="00A36135" w:rsidTr="00961793">
        <w:tc>
          <w:tcPr>
            <w:tcW w:w="2736" w:type="dxa"/>
          </w:tcPr>
          <w:p w:rsidR="00FB6309" w:rsidRPr="00B33ACD" w:rsidRDefault="00FB6309" w:rsidP="00C11C5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B33ACD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:rsidR="00FB6309" w:rsidRPr="00B33ACD" w:rsidRDefault="00FB6309" w:rsidP="00FB6309">
            <w:pPr>
              <w:jc w:val="both"/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</w:tcPr>
          <w:p w:rsidR="00FB6309" w:rsidRPr="00B33ACD" w:rsidRDefault="00FB6309" w:rsidP="00FB6309">
            <w:pPr>
              <w:jc w:val="both"/>
              <w:rPr>
                <w:sz w:val="20"/>
                <w:szCs w:val="20"/>
                <w:lang w:val="fr-FR"/>
              </w:rPr>
            </w:pPr>
          </w:p>
          <w:p w:rsidR="00FB6309" w:rsidRPr="00B33ACD" w:rsidRDefault="00A36135" w:rsidP="00FB630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L’assistant</w:t>
            </w:r>
            <w:r w:rsidR="00F77052" w:rsidRPr="00B33ACD">
              <w:rPr>
                <w:rFonts w:cs="Arial"/>
                <w:sz w:val="20"/>
                <w:szCs w:val="20"/>
                <w:lang w:val="fr-FR"/>
              </w:rPr>
              <w:t xml:space="preserve"> appui opérationnel travaille au sein d’un service chargé de la préparation </w:t>
            </w:r>
            <w:r w:rsidR="006E19B3" w:rsidRPr="00B33ACD">
              <w:rPr>
                <w:rFonts w:cs="Arial"/>
                <w:sz w:val="20"/>
                <w:szCs w:val="20"/>
                <w:lang w:val="fr-FR"/>
              </w:rPr>
              <w:t>ou d’intervention</w:t>
            </w:r>
            <w:r w:rsidR="00F61CF2" w:rsidRPr="00B33ACD">
              <w:rPr>
                <w:rFonts w:cs="Arial"/>
                <w:sz w:val="20"/>
                <w:szCs w:val="20"/>
                <w:lang w:val="fr-FR"/>
              </w:rPr>
              <w:t>,</w:t>
            </w:r>
            <w:r w:rsidR="006E19B3" w:rsidRPr="00B33ACD">
              <w:rPr>
                <w:rFonts w:cs="Arial"/>
                <w:sz w:val="20"/>
                <w:szCs w:val="20"/>
                <w:lang w:val="fr-FR"/>
              </w:rPr>
              <w:t xml:space="preserve"> et y effectue des activités </w:t>
            </w:r>
            <w:r w:rsidR="00FB6309" w:rsidRPr="00B33ACD">
              <w:rPr>
                <w:rFonts w:cs="Arial"/>
                <w:sz w:val="20"/>
                <w:szCs w:val="20"/>
                <w:lang w:val="fr-FR"/>
              </w:rPr>
              <w:t>(mono- e</w:t>
            </w:r>
            <w:r w:rsidR="006E19B3" w:rsidRPr="00B33ACD">
              <w:rPr>
                <w:rFonts w:cs="Arial"/>
                <w:sz w:val="20"/>
                <w:szCs w:val="20"/>
                <w:lang w:val="fr-FR"/>
              </w:rPr>
              <w:t>t</w:t>
            </w:r>
            <w:r w:rsidR="00FB6309" w:rsidRPr="00B33ACD">
              <w:rPr>
                <w:rFonts w:cs="Arial"/>
                <w:sz w:val="20"/>
                <w:szCs w:val="20"/>
                <w:lang w:val="fr-FR"/>
              </w:rPr>
              <w:t xml:space="preserve"> multidisciplinaire</w:t>
            </w:r>
            <w:r w:rsidR="006E19B3" w:rsidRPr="00B33ACD">
              <w:rPr>
                <w:rFonts w:cs="Arial"/>
                <w:sz w:val="20"/>
                <w:szCs w:val="20"/>
                <w:lang w:val="fr-FR"/>
              </w:rPr>
              <w:t>s</w:t>
            </w:r>
            <w:r w:rsidR="00FB6309" w:rsidRPr="00B33ACD">
              <w:rPr>
                <w:rFonts w:cs="Arial"/>
                <w:sz w:val="20"/>
                <w:szCs w:val="20"/>
                <w:lang w:val="fr-FR"/>
              </w:rPr>
              <w:t xml:space="preserve">) </w:t>
            </w:r>
            <w:r w:rsidR="006E19B3" w:rsidRPr="00B33ACD">
              <w:rPr>
                <w:rFonts w:cs="Arial"/>
                <w:sz w:val="20"/>
                <w:szCs w:val="20"/>
                <w:lang w:val="fr-FR"/>
              </w:rPr>
              <w:t xml:space="preserve">nécessaires </w:t>
            </w:r>
            <w:r w:rsidR="00F61CF2" w:rsidRPr="00B33ACD">
              <w:rPr>
                <w:rFonts w:cs="Arial"/>
                <w:sz w:val="20"/>
                <w:szCs w:val="20"/>
                <w:lang w:val="fr-FR"/>
              </w:rPr>
              <w:t>au</w:t>
            </w:r>
            <w:r w:rsidR="006E19B3" w:rsidRPr="00B33ACD">
              <w:rPr>
                <w:rFonts w:cs="Arial"/>
                <w:sz w:val="20"/>
                <w:szCs w:val="20"/>
                <w:lang w:val="fr-FR"/>
              </w:rPr>
              <w:t xml:space="preserve"> fonctionnement </w:t>
            </w:r>
            <w:r w:rsidR="00F61CF2" w:rsidRPr="00B33ACD">
              <w:rPr>
                <w:rFonts w:cs="Arial"/>
                <w:sz w:val="20"/>
                <w:szCs w:val="20"/>
                <w:lang w:val="fr-FR"/>
              </w:rPr>
              <w:t xml:space="preserve">optimal </w:t>
            </w:r>
            <w:r w:rsidR="00F71C9E">
              <w:rPr>
                <w:rFonts w:cs="Arial"/>
                <w:sz w:val="20"/>
                <w:szCs w:val="20"/>
                <w:lang w:val="fr-FR"/>
              </w:rPr>
              <w:t xml:space="preserve">du service d’intervention </w:t>
            </w:r>
            <w:r w:rsidR="006E19B3" w:rsidRPr="00B33ACD">
              <w:rPr>
                <w:rFonts w:cs="Arial"/>
                <w:sz w:val="20"/>
                <w:szCs w:val="20"/>
                <w:lang w:val="fr-FR"/>
              </w:rPr>
              <w:t xml:space="preserve">et des </w:t>
            </w:r>
            <w:r w:rsidR="00F61CF2" w:rsidRPr="00B33ACD">
              <w:rPr>
                <w:rFonts w:cs="Arial"/>
                <w:sz w:val="20"/>
                <w:szCs w:val="20"/>
                <w:lang w:val="fr-FR"/>
              </w:rPr>
              <w:t>dispositifs</w:t>
            </w:r>
            <w:r w:rsidR="006E19B3" w:rsidRPr="00B33AC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FB6309" w:rsidRPr="00B33ACD">
              <w:rPr>
                <w:rFonts w:cs="Arial"/>
                <w:sz w:val="20"/>
                <w:szCs w:val="20"/>
                <w:lang w:val="fr-FR"/>
              </w:rPr>
              <w:t>multidisciplinaire</w:t>
            </w:r>
            <w:r w:rsidR="006E19B3" w:rsidRPr="00B33ACD">
              <w:rPr>
                <w:rFonts w:cs="Arial"/>
                <w:sz w:val="20"/>
                <w:szCs w:val="20"/>
                <w:lang w:val="fr-FR"/>
              </w:rPr>
              <w:t xml:space="preserve">s. En fonction du contenu de la fonction au sein de la zone, </w:t>
            </w:r>
            <w:r>
              <w:rPr>
                <w:rFonts w:cs="Arial"/>
                <w:sz w:val="20"/>
                <w:szCs w:val="20"/>
                <w:lang w:val="fr-FR"/>
              </w:rPr>
              <w:t>l’assistant</w:t>
            </w:r>
            <w:r w:rsidR="006E19B3" w:rsidRPr="00B33ACD">
              <w:rPr>
                <w:rFonts w:cs="Arial"/>
                <w:sz w:val="20"/>
                <w:szCs w:val="20"/>
                <w:lang w:val="fr-FR"/>
              </w:rPr>
              <w:t xml:space="preserve"> appui opérationnel effectue des activités d’appui opérationnel</w:t>
            </w:r>
            <w:r w:rsidR="00FB6309" w:rsidRPr="00B33ACD">
              <w:rPr>
                <w:rFonts w:cs="Arial"/>
                <w:sz w:val="20"/>
                <w:szCs w:val="20"/>
                <w:lang w:val="fr-FR"/>
              </w:rPr>
              <w:t xml:space="preserve">. </w:t>
            </w:r>
            <w:r w:rsidR="006E19B3" w:rsidRPr="00B33ACD">
              <w:rPr>
                <w:rFonts w:cs="Arial"/>
                <w:sz w:val="20"/>
                <w:szCs w:val="20"/>
                <w:lang w:val="fr-FR"/>
              </w:rPr>
              <w:t>Il travaille au sein d’une équipe d’experts opérationnels</w:t>
            </w:r>
            <w:r w:rsidR="00FB6309" w:rsidRPr="00B33ACD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FB6309" w:rsidRPr="00B33ACD" w:rsidRDefault="00FB6309" w:rsidP="00FB63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FB6309" w:rsidRPr="00D91ADB" w:rsidTr="00961793">
        <w:tc>
          <w:tcPr>
            <w:tcW w:w="2736" w:type="dxa"/>
          </w:tcPr>
          <w:p w:rsidR="00FB6309" w:rsidRPr="00B33ACD" w:rsidRDefault="00FB6309" w:rsidP="00A70FBB">
            <w:pPr>
              <w:jc w:val="both"/>
              <w:rPr>
                <w:b/>
                <w:color w:val="0000FF"/>
                <w:sz w:val="20"/>
                <w:szCs w:val="20"/>
                <w:lang w:val="fr-FR"/>
              </w:rPr>
            </w:pPr>
            <w:r w:rsidRPr="00BC692A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A70FBB" w:rsidRPr="00BC692A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BC692A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A70FBB" w:rsidRPr="00BC692A">
              <w:rPr>
                <w:b/>
                <w:color w:val="0000FF"/>
                <w:sz w:val="20"/>
                <w:szCs w:val="20"/>
                <w:lang w:val="fr-FR"/>
              </w:rPr>
              <w:t>s</w:t>
            </w:r>
            <w:r w:rsidRPr="00BC692A">
              <w:rPr>
                <w:b/>
                <w:color w:val="0000FF"/>
                <w:sz w:val="20"/>
                <w:szCs w:val="20"/>
                <w:lang w:val="fr-FR"/>
              </w:rPr>
              <w:t xml:space="preserve"> d’activité</w:t>
            </w:r>
          </w:p>
        </w:tc>
        <w:tc>
          <w:tcPr>
            <w:tcW w:w="6546" w:type="dxa"/>
          </w:tcPr>
          <w:p w:rsidR="00FB6309" w:rsidRPr="00B33ACD" w:rsidRDefault="00FB6309" w:rsidP="00FB6309">
            <w:pPr>
              <w:jc w:val="both"/>
              <w:rPr>
                <w:sz w:val="20"/>
                <w:szCs w:val="20"/>
                <w:lang w:val="fr-FR"/>
              </w:rPr>
            </w:pPr>
          </w:p>
          <w:p w:rsidR="00FB6309" w:rsidRPr="00B33ACD" w:rsidRDefault="00B33ACD" w:rsidP="00FB6309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BC692A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Finalités</w:t>
            </w:r>
            <w:r w:rsidR="00A70FBB" w:rsidRPr="00BC692A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-</w:t>
            </w:r>
            <w:r w:rsidR="00311348" w:rsidRPr="00BC692A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clés</w:t>
            </w:r>
          </w:p>
          <w:p w:rsidR="00FB6309" w:rsidRPr="00B33ACD" w:rsidRDefault="00FB6309" w:rsidP="00FB6309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</w:p>
          <w:p w:rsidR="00714380" w:rsidRPr="00B33ACD" w:rsidRDefault="00311348" w:rsidP="00FB6309">
            <w:pPr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B33ACD">
              <w:rPr>
                <w:rFonts w:cs="Arial"/>
                <w:color w:val="000000"/>
                <w:sz w:val="20"/>
                <w:szCs w:val="20"/>
                <w:lang w:val="fr-FR"/>
              </w:rPr>
              <w:t>Fourniture d’un appui à un groupe d’ex</w:t>
            </w:r>
            <w:r w:rsidR="00714380" w:rsidRPr="00B33ACD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perts </w:t>
            </w:r>
            <w:r w:rsidR="00B33ACD" w:rsidRPr="00B33ACD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opérationnels </w:t>
            </w:r>
            <w:r w:rsidR="00714380" w:rsidRPr="00B33ACD">
              <w:rPr>
                <w:rFonts w:cs="Arial"/>
                <w:color w:val="000000"/>
                <w:sz w:val="20"/>
                <w:szCs w:val="20"/>
                <w:lang w:val="fr-FR"/>
              </w:rPr>
              <w:t>afin de pouvoir résoudre des situations critiques exigeant des connaissances et compétences plus approfondies.</w:t>
            </w:r>
          </w:p>
          <w:p w:rsidR="00714380" w:rsidRPr="00B33ACD" w:rsidRDefault="00714380" w:rsidP="00FB6309">
            <w:pPr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FB6309" w:rsidRPr="00B33ACD" w:rsidRDefault="00714380" w:rsidP="00714380">
            <w:pPr>
              <w:ind w:left="383"/>
              <w:jc w:val="both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B33ACD">
              <w:rPr>
                <w:rFonts w:cs="Arial"/>
                <w:sz w:val="20"/>
                <w:szCs w:val="20"/>
                <w:u w:val="single"/>
                <w:lang w:val="fr-FR"/>
              </w:rPr>
              <w:t>Tâches possibles (non limitatives) :</w:t>
            </w:r>
          </w:p>
          <w:p w:rsidR="00FB6309" w:rsidRPr="00B33ACD" w:rsidRDefault="00714380" w:rsidP="00714380">
            <w:pPr>
              <w:pStyle w:val="Lijstalinea"/>
              <w:numPr>
                <w:ilvl w:val="0"/>
                <w:numId w:val="12"/>
              </w:numPr>
              <w:tabs>
                <w:tab w:val="num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33AC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Assurer l’appui d’une équipe de plongeurs</w:t>
            </w:r>
            <w:r w:rsidR="00FB6309" w:rsidRPr="00B33AC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</w:t>
            </w:r>
            <w:r w:rsidRPr="00B33AC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avec les missions principales d'assurer le suivi et de garantir la sécurité de l'équipe de plongeur</w:t>
            </w:r>
            <w:r w:rsidR="00B33ACD" w:rsidRPr="00B33AC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B33AC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pendant leur intervention</w:t>
            </w:r>
            <w:r w:rsidR="00FB6309" w:rsidRPr="00B33AC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FB6309" w:rsidRPr="00B33ACD" w:rsidRDefault="00714380" w:rsidP="00714380">
            <w:pPr>
              <w:pStyle w:val="Lijstalinea"/>
              <w:numPr>
                <w:ilvl w:val="0"/>
                <w:numId w:val="12"/>
              </w:numPr>
              <w:tabs>
                <w:tab w:val="num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33AC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Assurer l’appui d’une équipe de sauvetage en hauteur ou dans des espaces difficilement accessibles</w:t>
            </w:r>
            <w:r w:rsidR="00FB6309" w:rsidRPr="00B33AC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FB6309" w:rsidRPr="00B33ACD" w:rsidRDefault="00714380" w:rsidP="00714380">
            <w:pPr>
              <w:pStyle w:val="Lijstalinea"/>
              <w:numPr>
                <w:ilvl w:val="0"/>
                <w:numId w:val="12"/>
              </w:numPr>
              <w:tabs>
                <w:tab w:val="num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33AC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Assurer l’appui d’une intervention </w:t>
            </w:r>
            <w:r w:rsidR="00B33AC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impliquant</w:t>
            </w:r>
            <w:r w:rsidRPr="00B33AC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des substances dangereuses</w:t>
            </w:r>
            <w:r w:rsidR="00FB6309" w:rsidRPr="00B33AC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FB6309" w:rsidRPr="00B33ACD" w:rsidRDefault="00B33ACD" w:rsidP="0071438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Assurer la dispense de formations et </w:t>
            </w:r>
            <w:r w:rsidR="00F77052" w:rsidRPr="00BC692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entraînement</w:t>
            </w:r>
            <w:r w:rsidR="00142B0A" w:rsidRPr="00BC692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="00252433" w:rsidRPr="00BC692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pour</w:t>
            </w:r>
            <w:r w:rsidR="00F77052" w:rsidRPr="00BC692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de</w:t>
            </w:r>
            <w:r w:rsidR="00142B0A" w:rsidRPr="00BC692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="00F77052" w:rsidRPr="00BC692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missions spécialisées</w:t>
            </w:r>
            <w:r w:rsidR="00FB6309" w:rsidRPr="00BC692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</w:t>
            </w:r>
            <w:r w:rsidR="00305017" w:rsidRPr="00BC692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</w:t>
            </w:r>
            <w:r w:rsidR="00F77052" w:rsidRPr="00BC692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’évaluation, l’enregistrement des participants et </w:t>
            </w:r>
            <w:r w:rsidR="00252433" w:rsidRPr="00BC692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maintien </w:t>
            </w:r>
            <w:r w:rsidR="00F77052" w:rsidRPr="00BC692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 niveau de qualité de</w:t>
            </w:r>
            <w:r w:rsidR="00F77052" w:rsidRPr="00B33AC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la formation</w:t>
            </w:r>
            <w:r w:rsidR="00FB6309" w:rsidRPr="00B33AC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FB6309" w:rsidRPr="00B33ACD" w:rsidRDefault="00F77052" w:rsidP="00714380">
            <w:pPr>
              <w:pStyle w:val="Lijstalinea"/>
              <w:numPr>
                <w:ilvl w:val="0"/>
                <w:numId w:val="12"/>
              </w:numPr>
              <w:tabs>
                <w:tab w:val="num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33ACD">
              <w:rPr>
                <w:rFonts w:ascii="Arial" w:hAnsi="Arial" w:cs="Arial"/>
                <w:sz w:val="20"/>
                <w:szCs w:val="20"/>
                <w:lang w:val="fr-FR"/>
              </w:rPr>
              <w:t xml:space="preserve">Veiller à ce que les moyens nécessaires soient présents au moment opportun à l’endroit adéquat de sorte que la tâche </w:t>
            </w:r>
            <w:r w:rsidR="00F71C9E">
              <w:rPr>
                <w:rFonts w:ascii="Arial" w:hAnsi="Arial" w:cs="Arial"/>
                <w:sz w:val="20"/>
                <w:szCs w:val="20"/>
                <w:lang w:val="fr-FR"/>
              </w:rPr>
              <w:t>d’intervention</w:t>
            </w:r>
            <w:r w:rsidRPr="00B33ACD">
              <w:rPr>
                <w:rFonts w:ascii="Arial" w:hAnsi="Arial" w:cs="Arial"/>
                <w:sz w:val="20"/>
                <w:szCs w:val="20"/>
                <w:lang w:val="fr-FR"/>
              </w:rPr>
              <w:t xml:space="preserve"> puisse être </w:t>
            </w:r>
            <w:r w:rsidR="00305017">
              <w:rPr>
                <w:rFonts w:ascii="Arial" w:hAnsi="Arial" w:cs="Arial"/>
                <w:sz w:val="20"/>
                <w:szCs w:val="20"/>
                <w:lang w:val="fr-FR"/>
              </w:rPr>
              <w:t>dûment</w:t>
            </w:r>
            <w:r w:rsidRPr="00B33ACD">
              <w:rPr>
                <w:rFonts w:ascii="Arial" w:hAnsi="Arial" w:cs="Arial"/>
                <w:sz w:val="20"/>
                <w:szCs w:val="20"/>
                <w:lang w:val="fr-FR"/>
              </w:rPr>
              <w:t xml:space="preserve"> effectuée</w:t>
            </w:r>
            <w:r w:rsidR="00FB6309" w:rsidRPr="00B33ACD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FB6309" w:rsidRPr="00B33ACD" w:rsidRDefault="00F77052" w:rsidP="00714380">
            <w:pPr>
              <w:pStyle w:val="Lijstalinea"/>
              <w:numPr>
                <w:ilvl w:val="0"/>
                <w:numId w:val="12"/>
              </w:numPr>
              <w:tabs>
                <w:tab w:val="num" w:pos="900"/>
              </w:tabs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B33ACD">
              <w:rPr>
                <w:rFonts w:ascii="Arial" w:hAnsi="Arial" w:cs="Arial"/>
                <w:sz w:val="20"/>
                <w:szCs w:val="20"/>
                <w:lang w:val="fr-FR"/>
              </w:rPr>
              <w:t xml:space="preserve">Veiller au contrôle </w:t>
            </w:r>
            <w:r w:rsidR="00305017">
              <w:rPr>
                <w:rFonts w:ascii="Arial" w:hAnsi="Arial" w:cs="Arial"/>
                <w:sz w:val="20"/>
                <w:szCs w:val="20"/>
                <w:lang w:val="fr-FR"/>
              </w:rPr>
              <w:t>de l'approvisionnement</w:t>
            </w:r>
            <w:r w:rsidRPr="00B33ACD">
              <w:rPr>
                <w:rFonts w:ascii="Arial" w:hAnsi="Arial" w:cs="Arial"/>
                <w:sz w:val="20"/>
                <w:szCs w:val="20"/>
                <w:lang w:val="fr-FR"/>
              </w:rPr>
              <w:t xml:space="preserve"> en eau d’extinction</w:t>
            </w:r>
            <w:r w:rsidR="00FB6309" w:rsidRPr="00B33AC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B33ACD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chercher et fournir des informations au service </w:t>
            </w:r>
            <w:r w:rsidR="00F71C9E">
              <w:rPr>
                <w:rFonts w:ascii="Arial" w:hAnsi="Arial" w:cs="Arial"/>
                <w:sz w:val="20"/>
                <w:szCs w:val="20"/>
                <w:lang w:val="fr-FR"/>
              </w:rPr>
              <w:t>d’intervention</w:t>
            </w:r>
            <w:r w:rsidRPr="00B33ACD">
              <w:rPr>
                <w:rFonts w:ascii="Arial" w:hAnsi="Arial" w:cs="Arial"/>
                <w:sz w:val="20"/>
                <w:szCs w:val="20"/>
                <w:lang w:val="fr-FR"/>
              </w:rPr>
              <w:t xml:space="preserve"> en ce qui concerne des modifications actuelles au niveau de l’infrastruct</w:t>
            </w:r>
            <w:r w:rsidR="00305017">
              <w:rPr>
                <w:rFonts w:ascii="Arial" w:hAnsi="Arial" w:cs="Arial"/>
                <w:sz w:val="20"/>
                <w:szCs w:val="20"/>
                <w:lang w:val="fr-FR"/>
              </w:rPr>
              <w:t xml:space="preserve">ure, </w:t>
            </w:r>
            <w:r w:rsidRPr="00BC692A">
              <w:rPr>
                <w:rFonts w:ascii="Arial" w:hAnsi="Arial" w:cs="Arial"/>
                <w:sz w:val="20"/>
                <w:szCs w:val="20"/>
                <w:lang w:val="fr-FR"/>
              </w:rPr>
              <w:t>cherche</w:t>
            </w:r>
            <w:r w:rsidR="005D25D8" w:rsidRPr="00BC692A">
              <w:rPr>
                <w:rFonts w:ascii="Arial" w:hAnsi="Arial" w:cs="Arial"/>
                <w:sz w:val="20"/>
                <w:szCs w:val="20"/>
                <w:lang w:val="fr-FR"/>
              </w:rPr>
              <w:t>r et fournir</w:t>
            </w:r>
            <w:r w:rsidR="00F71C9E" w:rsidRPr="00BC692A">
              <w:rPr>
                <w:rFonts w:ascii="Arial" w:hAnsi="Arial" w:cs="Arial"/>
                <w:sz w:val="20"/>
                <w:szCs w:val="20"/>
                <w:lang w:val="fr-FR"/>
              </w:rPr>
              <w:t xml:space="preserve"> des informations</w:t>
            </w:r>
            <w:r w:rsidR="00F71C9E">
              <w:rPr>
                <w:rFonts w:ascii="Arial" w:hAnsi="Arial" w:cs="Arial"/>
                <w:sz w:val="20"/>
                <w:szCs w:val="20"/>
                <w:lang w:val="fr-FR"/>
              </w:rPr>
              <w:t xml:space="preserve"> au service d’intervention </w:t>
            </w:r>
            <w:r w:rsidRPr="00B33ACD">
              <w:rPr>
                <w:rFonts w:ascii="Arial" w:hAnsi="Arial" w:cs="Arial"/>
                <w:sz w:val="20"/>
                <w:szCs w:val="20"/>
                <w:lang w:val="fr-FR"/>
              </w:rPr>
              <w:t>en ce qui concerne des objets</w:t>
            </w:r>
            <w:r w:rsidR="00F71C9E">
              <w:rPr>
                <w:rFonts w:ascii="Arial" w:hAnsi="Arial" w:cs="Arial"/>
                <w:sz w:val="20"/>
                <w:szCs w:val="20"/>
                <w:lang w:val="fr-FR"/>
              </w:rPr>
              <w:t>/risques</w:t>
            </w:r>
            <w:r w:rsidR="00FB6309" w:rsidRPr="00B33ACD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FB6309" w:rsidRPr="00B33ACD" w:rsidRDefault="00FB6309" w:rsidP="00FB6309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B65117" w:rsidRPr="00D91ADB" w:rsidTr="00961793">
        <w:tc>
          <w:tcPr>
            <w:tcW w:w="2736" w:type="dxa"/>
          </w:tcPr>
          <w:p w:rsidR="00B65117" w:rsidRPr="00B33ACD" w:rsidRDefault="00311348" w:rsidP="00FB6309">
            <w:pPr>
              <w:jc w:val="both"/>
              <w:rPr>
                <w:b/>
                <w:color w:val="0000FF"/>
                <w:sz w:val="20"/>
                <w:szCs w:val="20"/>
                <w:lang w:val="fr-FR"/>
              </w:rPr>
            </w:pPr>
            <w:r w:rsidRPr="00B33ACD">
              <w:rPr>
                <w:b/>
                <w:color w:val="0000FF"/>
                <w:sz w:val="20"/>
                <w:szCs w:val="20"/>
                <w:lang w:val="fr-FR"/>
              </w:rPr>
              <w:lastRenderedPageBreak/>
              <w:t>Place dans l’organisation</w:t>
            </w:r>
          </w:p>
        </w:tc>
        <w:tc>
          <w:tcPr>
            <w:tcW w:w="6546" w:type="dxa"/>
          </w:tcPr>
          <w:p w:rsidR="00B65117" w:rsidRPr="00B33ACD" w:rsidRDefault="00B65117" w:rsidP="00FB6309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</w:p>
          <w:p w:rsidR="00B65117" w:rsidRPr="00B33ACD" w:rsidRDefault="00311348" w:rsidP="00FB6309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B33ACD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La fonction est dirigée par</w:t>
            </w:r>
            <w:r w:rsidR="00B65117" w:rsidRPr="00B33ACD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:rsidR="00A660D8" w:rsidRPr="00B33ACD" w:rsidRDefault="00311348" w:rsidP="00FB6309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B33ACD">
              <w:rPr>
                <w:rFonts w:cs="Arial"/>
                <w:sz w:val="20"/>
                <w:szCs w:val="20"/>
                <w:lang w:val="fr-FR"/>
              </w:rPr>
              <w:t xml:space="preserve">Dans des situations opérationnelles, il </w:t>
            </w:r>
            <w:r w:rsidR="00F71C9E">
              <w:rPr>
                <w:rFonts w:cs="Arial"/>
                <w:sz w:val="20"/>
                <w:szCs w:val="20"/>
                <w:lang w:val="fr-FR"/>
              </w:rPr>
              <w:t>est placé sous</w:t>
            </w:r>
            <w:r w:rsidRPr="00B33ACD">
              <w:rPr>
                <w:rFonts w:cs="Arial"/>
                <w:sz w:val="20"/>
                <w:szCs w:val="20"/>
                <w:lang w:val="fr-FR"/>
              </w:rPr>
              <w:t xml:space="preserve"> la direction fonctionnelle de minimum la fonction de sergent</w:t>
            </w:r>
            <w:r w:rsidR="00A660D8" w:rsidRPr="00B33ACD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A660D8" w:rsidRPr="00B33ACD" w:rsidRDefault="00A660D8" w:rsidP="00FB6309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2453FC" w:rsidRPr="00D91ADB" w:rsidTr="00961793">
        <w:tc>
          <w:tcPr>
            <w:tcW w:w="2736" w:type="dxa"/>
          </w:tcPr>
          <w:p w:rsidR="002453FC" w:rsidRPr="00B33ACD" w:rsidRDefault="002453FC" w:rsidP="00FB6309">
            <w:pPr>
              <w:jc w:val="both"/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</w:tcPr>
          <w:p w:rsidR="002453FC" w:rsidRPr="00B33ACD" w:rsidRDefault="002453FC" w:rsidP="00FB6309">
            <w:pPr>
              <w:jc w:val="both"/>
              <w:outlineLvl w:val="0"/>
              <w:rPr>
                <w:rFonts w:cs="Arial"/>
                <w:sz w:val="20"/>
                <w:szCs w:val="20"/>
                <w:lang w:val="fr-FR"/>
              </w:rPr>
            </w:pPr>
          </w:p>
          <w:p w:rsidR="002453FC" w:rsidRPr="00B33ACD" w:rsidRDefault="00311348" w:rsidP="00FB6309">
            <w:pPr>
              <w:jc w:val="both"/>
              <w:outlineLvl w:val="0"/>
              <w:rPr>
                <w:rFonts w:cs="Arial"/>
                <w:sz w:val="20"/>
                <w:szCs w:val="20"/>
                <w:lang w:val="fr-FR"/>
              </w:rPr>
            </w:pPr>
            <w:r w:rsidRPr="00B33ACD">
              <w:rPr>
                <w:rFonts w:cs="Arial"/>
                <w:sz w:val="20"/>
                <w:szCs w:val="20"/>
                <w:lang w:val="fr-FR"/>
              </w:rPr>
              <w:t>La description de fonction pour les parties</w:t>
            </w:r>
            <w:r w:rsidR="002453FC" w:rsidRPr="00B33ACD">
              <w:rPr>
                <w:rFonts w:cs="Arial"/>
                <w:sz w:val="20"/>
                <w:szCs w:val="20"/>
                <w:lang w:val="fr-FR"/>
              </w:rPr>
              <w:t>:</w:t>
            </w:r>
          </w:p>
          <w:p w:rsidR="00311348" w:rsidRPr="00B33ACD" w:rsidRDefault="00311348" w:rsidP="00311348">
            <w:pPr>
              <w:pStyle w:val="Lijstalinea"/>
              <w:numPr>
                <w:ilvl w:val="0"/>
                <w:numId w:val="10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33ACD"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:rsidR="00311348" w:rsidRPr="00B33ACD" w:rsidRDefault="00311348" w:rsidP="00311348">
            <w:pPr>
              <w:pStyle w:val="Lijstalinea"/>
              <w:numPr>
                <w:ilvl w:val="0"/>
                <w:numId w:val="10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33ACD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:rsidR="002453FC" w:rsidRPr="00B33ACD" w:rsidRDefault="00311348" w:rsidP="00311348">
            <w:pPr>
              <w:pStyle w:val="Lijstalinea"/>
              <w:numPr>
                <w:ilvl w:val="0"/>
                <w:numId w:val="10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33ACD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:rsidR="002453FC" w:rsidRPr="00B33ACD" w:rsidRDefault="002453FC" w:rsidP="00FB6309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:rsidR="002453FC" w:rsidRPr="00B33ACD" w:rsidRDefault="00305017" w:rsidP="00FB6309">
            <w:pPr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est disponible</w:t>
            </w:r>
            <w:r w:rsidR="00311348" w:rsidRPr="00B33ACD">
              <w:rPr>
                <w:sz w:val="20"/>
                <w:szCs w:val="20"/>
                <w:lang w:val="fr-FR"/>
              </w:rPr>
              <w:t xml:space="preserve"> dans la description de fonction connexe</w:t>
            </w:r>
            <w:r w:rsidR="002453FC" w:rsidRPr="00B33ACD">
              <w:rPr>
                <w:sz w:val="20"/>
                <w:szCs w:val="20"/>
                <w:lang w:val="fr-FR"/>
              </w:rPr>
              <w:t xml:space="preserve">. </w:t>
            </w:r>
            <w:r w:rsidR="00311348" w:rsidRPr="00B33ACD">
              <w:rPr>
                <w:sz w:val="20"/>
                <w:szCs w:val="20"/>
                <w:lang w:val="fr-FR"/>
              </w:rPr>
              <w:t>(sapeur-pompier, caporal</w:t>
            </w:r>
            <w:r w:rsidR="002453FC" w:rsidRPr="00B33ACD">
              <w:rPr>
                <w:sz w:val="20"/>
                <w:szCs w:val="20"/>
                <w:lang w:val="fr-FR"/>
              </w:rPr>
              <w:t xml:space="preserve">) </w:t>
            </w:r>
            <w:r w:rsidR="00311348" w:rsidRPr="00B33ACD">
              <w:rPr>
                <w:sz w:val="20"/>
                <w:szCs w:val="20"/>
                <w:lang w:val="fr-FR"/>
              </w:rPr>
              <w:t xml:space="preserve">ou selon les dispositions de l’arrêté royal du </w:t>
            </w:r>
            <w:r w:rsidR="002453FC" w:rsidRPr="00B33ACD">
              <w:rPr>
                <w:rFonts w:cs="Arial"/>
                <w:sz w:val="20"/>
                <w:szCs w:val="20"/>
                <w:lang w:val="fr-FR"/>
              </w:rPr>
              <w:t>19 a</w:t>
            </w:r>
            <w:r w:rsidR="00311348" w:rsidRPr="00B33ACD">
              <w:rPr>
                <w:rFonts w:cs="Arial"/>
                <w:sz w:val="20"/>
                <w:szCs w:val="20"/>
                <w:lang w:val="fr-FR"/>
              </w:rPr>
              <w:t>v</w:t>
            </w:r>
            <w:r w:rsidR="002453FC" w:rsidRPr="00B33ACD">
              <w:rPr>
                <w:rFonts w:cs="Arial"/>
                <w:sz w:val="20"/>
                <w:szCs w:val="20"/>
                <w:lang w:val="fr-FR"/>
              </w:rPr>
              <w:t xml:space="preserve">ril 2014 </w:t>
            </w:r>
            <w:r w:rsidR="00311348" w:rsidRPr="00B33ACD">
              <w:rPr>
                <w:rFonts w:cs="Arial"/>
                <w:sz w:val="20"/>
                <w:szCs w:val="20"/>
                <w:lang w:val="fr-FR"/>
              </w:rPr>
              <w:t>relatif au statut du personnel opérationnel des zones de secours</w:t>
            </w:r>
            <w:r w:rsidR="00F71C9E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2453FC" w:rsidRPr="00B33ACD" w:rsidRDefault="002453FC" w:rsidP="00FB6309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p w:rsidR="00C1200D" w:rsidRPr="00B33ACD" w:rsidRDefault="00C1200D" w:rsidP="00FB6309">
      <w:pPr>
        <w:jc w:val="center"/>
        <w:rPr>
          <w:lang w:val="fr-FR"/>
        </w:rPr>
      </w:pPr>
    </w:p>
    <w:p w:rsidR="00CC5128" w:rsidRPr="00B33ACD" w:rsidRDefault="00CC5128" w:rsidP="00FB6309">
      <w:pPr>
        <w:jc w:val="center"/>
        <w:rPr>
          <w:lang w:val="fr-FR"/>
        </w:rPr>
      </w:pPr>
    </w:p>
    <w:p w:rsidR="00CC5128" w:rsidRPr="00B33ACD" w:rsidRDefault="00CC5128" w:rsidP="00FB6309">
      <w:pPr>
        <w:jc w:val="center"/>
        <w:rPr>
          <w:lang w:val="fr-FR"/>
        </w:rPr>
      </w:pPr>
    </w:p>
    <w:p w:rsidR="00F71C9E" w:rsidRPr="007335DC" w:rsidRDefault="00F71C9E" w:rsidP="00F71C9E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:rsidR="00F71C9E" w:rsidRPr="007335DC" w:rsidRDefault="00F71C9E" w:rsidP="00F71C9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F71C9E" w:rsidRPr="007335DC" w:rsidRDefault="00F71C9E" w:rsidP="00F71C9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F71C9E" w:rsidRPr="007335DC" w:rsidRDefault="00F71C9E" w:rsidP="00F71C9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F71C9E" w:rsidRPr="007335DC" w:rsidRDefault="00F71C9E" w:rsidP="00F71C9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F71C9E" w:rsidRPr="007335DC" w:rsidRDefault="00F71C9E" w:rsidP="00F71C9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F71C9E" w:rsidRPr="007335DC" w:rsidRDefault="00F71C9E" w:rsidP="00F71C9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F71C9E" w:rsidRPr="007335DC" w:rsidRDefault="00F71C9E" w:rsidP="00F71C9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F71C9E" w:rsidRPr="007335DC" w:rsidRDefault="00F71C9E" w:rsidP="00F71C9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F71C9E" w:rsidRPr="007335DC" w:rsidRDefault="00F71C9E" w:rsidP="00F71C9E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:rsidR="00F71C9E" w:rsidRPr="007335DC" w:rsidRDefault="00F71C9E" w:rsidP="00F71C9E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:rsidR="00F71C9E" w:rsidRPr="007335DC" w:rsidRDefault="00F71C9E" w:rsidP="00F71C9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EC4FE1" w:rsidRPr="00B33ACD" w:rsidRDefault="00EC4FE1" w:rsidP="00FB6309">
      <w:pPr>
        <w:jc w:val="center"/>
        <w:rPr>
          <w:lang w:val="fr-FR"/>
        </w:rPr>
      </w:pPr>
    </w:p>
    <w:sectPr w:rsidR="00EC4FE1" w:rsidRPr="00B33ACD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F5" w:rsidRDefault="00CB0AF5" w:rsidP="008F4853">
      <w:r>
        <w:separator/>
      </w:r>
    </w:p>
  </w:endnote>
  <w:endnote w:type="continuationSeparator" w:id="0">
    <w:p w:rsidR="00CB0AF5" w:rsidRDefault="00CB0AF5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F5" w:rsidRDefault="00CB0AF5" w:rsidP="008F4853">
      <w:r>
        <w:separator/>
      </w:r>
    </w:p>
  </w:footnote>
  <w:footnote w:type="continuationSeparator" w:id="0">
    <w:p w:rsidR="00CB0AF5" w:rsidRDefault="00CB0AF5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03072"/>
    <w:multiLevelType w:val="hybridMultilevel"/>
    <w:tmpl w:val="B86442EA"/>
    <w:lvl w:ilvl="0" w:tplc="8CFC3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27B3A"/>
    <w:multiLevelType w:val="hybridMultilevel"/>
    <w:tmpl w:val="44AC11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26778"/>
    <w:rsid w:val="000B58F8"/>
    <w:rsid w:val="00123D5E"/>
    <w:rsid w:val="001335F4"/>
    <w:rsid w:val="00142B0A"/>
    <w:rsid w:val="001F4078"/>
    <w:rsid w:val="0021694B"/>
    <w:rsid w:val="002453FC"/>
    <w:rsid w:val="00252433"/>
    <w:rsid w:val="00305017"/>
    <w:rsid w:val="00311348"/>
    <w:rsid w:val="003204FF"/>
    <w:rsid w:val="0035708C"/>
    <w:rsid w:val="00357F7B"/>
    <w:rsid w:val="00376369"/>
    <w:rsid w:val="00377A38"/>
    <w:rsid w:val="003E63A5"/>
    <w:rsid w:val="004225D1"/>
    <w:rsid w:val="0042328D"/>
    <w:rsid w:val="0046094F"/>
    <w:rsid w:val="00515CAA"/>
    <w:rsid w:val="005236F0"/>
    <w:rsid w:val="005A3477"/>
    <w:rsid w:val="005D25D8"/>
    <w:rsid w:val="00637F02"/>
    <w:rsid w:val="006400C9"/>
    <w:rsid w:val="00682A16"/>
    <w:rsid w:val="006A163E"/>
    <w:rsid w:val="006A4139"/>
    <w:rsid w:val="006E19B3"/>
    <w:rsid w:val="006E381C"/>
    <w:rsid w:val="00714380"/>
    <w:rsid w:val="007C0F28"/>
    <w:rsid w:val="007E416B"/>
    <w:rsid w:val="007F2A66"/>
    <w:rsid w:val="008134F2"/>
    <w:rsid w:val="00846DA3"/>
    <w:rsid w:val="00857928"/>
    <w:rsid w:val="008655BE"/>
    <w:rsid w:val="00872539"/>
    <w:rsid w:val="008E55DD"/>
    <w:rsid w:val="008F4853"/>
    <w:rsid w:val="00904788"/>
    <w:rsid w:val="00917175"/>
    <w:rsid w:val="00927DFA"/>
    <w:rsid w:val="009326B3"/>
    <w:rsid w:val="00961793"/>
    <w:rsid w:val="00973B7D"/>
    <w:rsid w:val="00981462"/>
    <w:rsid w:val="009A0481"/>
    <w:rsid w:val="009F6D92"/>
    <w:rsid w:val="00A23925"/>
    <w:rsid w:val="00A26980"/>
    <w:rsid w:val="00A36135"/>
    <w:rsid w:val="00A660D8"/>
    <w:rsid w:val="00A66F68"/>
    <w:rsid w:val="00A70FBB"/>
    <w:rsid w:val="00AE0A39"/>
    <w:rsid w:val="00B30268"/>
    <w:rsid w:val="00B311DD"/>
    <w:rsid w:val="00B33ACD"/>
    <w:rsid w:val="00B51D25"/>
    <w:rsid w:val="00B61966"/>
    <w:rsid w:val="00B65117"/>
    <w:rsid w:val="00B85459"/>
    <w:rsid w:val="00B877ED"/>
    <w:rsid w:val="00BA7241"/>
    <w:rsid w:val="00BC692A"/>
    <w:rsid w:val="00C1200D"/>
    <w:rsid w:val="00CB0AF5"/>
    <w:rsid w:val="00CC5128"/>
    <w:rsid w:val="00CC6E6B"/>
    <w:rsid w:val="00D27580"/>
    <w:rsid w:val="00D91ADB"/>
    <w:rsid w:val="00D93787"/>
    <w:rsid w:val="00E67D1A"/>
    <w:rsid w:val="00E9399D"/>
    <w:rsid w:val="00EC4FE1"/>
    <w:rsid w:val="00EE75AB"/>
    <w:rsid w:val="00F61CF2"/>
    <w:rsid w:val="00F67B86"/>
    <w:rsid w:val="00F71C9E"/>
    <w:rsid w:val="00F77052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  <w:style w:type="paragraph" w:styleId="Normaalweb">
    <w:name w:val="Normal (Web)"/>
    <w:basedOn w:val="Standaard"/>
    <w:uiPriority w:val="99"/>
    <w:unhideWhenUsed/>
    <w:rsid w:val="00A660D8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63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63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6309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63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6309"/>
    <w:rPr>
      <w:rFonts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  <w:style w:type="paragraph" w:styleId="Normaalweb">
    <w:name w:val="Normal (Web)"/>
    <w:basedOn w:val="Standaard"/>
    <w:uiPriority w:val="99"/>
    <w:unhideWhenUsed/>
    <w:rsid w:val="00A660D8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63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63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6309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63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6309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2015-03-23T14:26:00Z</cp:lastPrinted>
  <dcterms:created xsi:type="dcterms:W3CDTF">2016-04-19T09:32:00Z</dcterms:created>
  <dcterms:modified xsi:type="dcterms:W3CDTF">2016-04-19T09:32:00Z</dcterms:modified>
</cp:coreProperties>
</file>